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360"/>
        <w:jc w:val="center"/>
      </w:pPr>
      <w:r>
        <w:drawing>
          <wp:inline xmlns:a="http://schemas.openxmlformats.org/drawingml/2006/main" xmlns:pic="http://schemas.openxmlformats.org/drawingml/2006/picture">
            <wp:extent cx="1655999" cy="1655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dar_ic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1655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59" w:lineRule="auto"/>
        <w:jc w:val="center"/>
      </w:pPr>
      <w:r>
        <w:rPr>
          <w:rFonts w:ascii="Arial" w:hAnsi="Arial"/>
          <w:b/>
          <w:color w:val="C69536"/>
          <w:sz w:val="21"/>
        </w:rPr>
        <w:t>CALCULUS POSLOVNI RADAR</w:t>
      </w:r>
    </w:p>
    <w:p>
      <w:pPr>
        <w:keepNext w:val="0"/>
        <w:spacing w:before="0" w:after="160" w:line="240" w:lineRule="auto"/>
        <w:jc w:val="center"/>
      </w:pPr>
      <w:r>
        <w:rPr>
          <w:rFonts w:ascii="Arial" w:hAnsi="Arial"/>
          <w:b/>
          <w:color w:val="173A2F"/>
          <w:sz w:val="56"/>
        </w:rPr>
        <w:t>Cela firma na jednom ekranu</w:t>
      </w:r>
    </w:p>
    <w:p>
      <w:pPr>
        <w:keepNext w:val="0"/>
        <w:spacing w:before="0" w:after="400" w:line="259" w:lineRule="auto"/>
        <w:jc w:val="center"/>
      </w:pPr>
      <w:r>
        <w:rPr>
          <w:rFonts w:ascii="Arial" w:hAnsi="Arial"/>
          <w:color w:val="2F5949"/>
          <w:sz w:val="28"/>
        </w:rPr>
        <w:t>Pregled funkcija produkcione verzije 2.6.2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Jasna slika poslovanja, na jedan zahtev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direktno čita izabranu Calculus 12 bazu, prepoznaje dostupne poslovne celine i priprema objedinjeni upravljački presek za vlasnike, direktore i menadžere.</w:t>
            </w:r>
          </w:p>
        </w:tc>
      </w:tr>
    </w:tbl>
    <w:p>
      <w:pPr>
        <w:spacing w:after="0"/>
      </w:pPr>
    </w:p>
    <w:p>
      <w:pPr>
        <w:keepNext w:val="0"/>
        <w:spacing w:before="0" w:after="160" w:line="269" w:lineRule="auto"/>
        <w:jc w:val="center"/>
      </w:pPr>
      <w:r>
        <w:rPr>
          <w:rFonts w:ascii="Arial" w:hAnsi="Arial"/>
          <w:b/>
          <w:i w:val="0"/>
          <w:color w:val="173A2F"/>
          <w:sz w:val="22"/>
        </w:rPr>
        <w:t>Bez ručnog sabiranja više različitih pregleda. Bez mesečne pretplate. Podaci ostaju na računaru korisnika.</w:t>
      </w:r>
    </w:p>
    <w:p>
      <w:pPr>
        <w:keepNext w:val="0"/>
        <w:spacing w:before="0" w:after="120" w:line="269" w:lineRule="auto"/>
        <w:jc w:val="center"/>
      </w:pPr>
      <w:r>
        <w:rPr>
          <w:rFonts w:ascii="Arial" w:hAnsi="Arial"/>
          <w:b w:val="0"/>
          <w:i w:val="0"/>
          <w:color w:val="5E6B65"/>
          <w:sz w:val="18"/>
        </w:rPr>
        <w:t>SAGITARION Subotica  •  2026</w:t>
      </w:r>
    </w:p>
    <w:p>
      <w:r>
        <w:br w:type="page"/>
      </w:r>
    </w:p>
    <w:p>
      <w:pPr>
        <w:pStyle w:val="Heading1"/>
        <w:keepNext/>
      </w:pPr>
      <w:r>
        <w:t>Šta Radar radi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Jednim kontrolisanim presekom objedinjuje trenutno operativno i finansijsko stanje firme od početka izabrane poslovne godine do datuma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Direktorski pregled: </w:t>
      </w:r>
      <w:r>
        <w:rPr>
          <w:rFonts w:ascii="Arial" w:hAnsi="Arial"/>
          <w:color w:val="17211D"/>
          <w:sz w:val="20"/>
        </w:rPr>
        <w:t>najvažniji pokazatelji, upozorenja i poslovni signali, uz YTD od 01.01. i kalendarski MTD od početka meseca do istog datuma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Dnevni presek: </w:t>
      </w:r>
      <w:r>
        <w:rPr>
          <w:rFonts w:ascii="Arial" w:hAnsi="Arial"/>
          <w:color w:val="17211D"/>
          <w:sz w:val="20"/>
        </w:rPr>
        <w:t>prodaja, dokumenti, naplate, plaćanja i kratkoročni trendovi.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Naredne četiri nedelje: </w:t>
      </w:r>
      <w:r>
        <w:rPr>
          <w:rFonts w:ascii="Arial" w:hAnsi="Arial"/>
          <w:color w:val="17211D"/>
          <w:sz w:val="20"/>
        </w:rPr>
        <w:t>dospeća, očekivani prilivi i odlivi i operativni pogled na likvidnost.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Mesečni pregled: </w:t>
      </w:r>
      <w:r>
        <w:rPr>
          <w:rFonts w:ascii="Arial" w:hAnsi="Arial"/>
          <w:color w:val="17211D"/>
          <w:sz w:val="20"/>
        </w:rPr>
        <w:t>zalihe, obrt, bruto razlika, kupci, artikli i kvalitet nabavne vrednosti.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Automatsko prepoznavanje: </w:t>
      </w:r>
      <w:r>
        <w:rPr>
          <w:rFonts w:ascii="Arial" w:hAnsi="Arial"/>
          <w:color w:val="17211D"/>
          <w:sz w:val="20"/>
        </w:rPr>
        <w:t>Radar prikazuje samo poslovne celine za koje u bazi postoje dokazivi i upotrebljivi podaci.</w:t>
      </w:r>
    </w:p>
    <w:p>
      <w:pPr>
        <w:pStyle w:val="Heading2"/>
        <w:keepNext/>
      </w:pPr>
      <w:r>
        <w:t>Presek na datum koji je potreban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Podrazumevan je današnji datum, ali se može izabrati i raniji datum u poslovnoj godini - na primer 30.06. za banku, sastanak uprave, elaborat ili poslovni plan.</w:t>
      </w:r>
    </w:p>
    <w:p>
      <w:pPr>
        <w:pStyle w:val="Heading2"/>
        <w:keepNext/>
      </w:pPr>
      <w:r>
        <w:t>Glavna i Uporedna baza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Glavna baza daje godinu preseka. Opcionom Uporednom bazom isti period može se porediti sa prethodnom ili drugom referentnom godinom. Susedne godine daju YoY — Poređenje godina, a nesusedne referentni benčmark. Radar blokira izbor ako obe baze imaju istu sistemsku poslovnu godinu i daje postupak provere u programu Upgrade baze.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Jedan presek - zajednička osnova za razgovor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Vlasnik, direktor, menadžer i računovođa posmatraju isti datum, isti obuhvat i jasno označene izvore podataka.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Calculus baza sa DSN-om ili bez njega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Radar zadržava standardno povezivanje preko postojećeg Calculus DSN-a, ali može da radi i kada Calculus 12 i DSN nisu podešeni na računaru korisnika.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Postojeći DSN: </w:t>
      </w:r>
      <w:r>
        <w:rPr>
          <w:rFonts w:ascii="Arial" w:hAnsi="Arial"/>
          <w:color w:val="17211D"/>
          <w:sz w:val="20"/>
        </w:rPr>
        <w:t>korisnik bira dostupnu Calculus bazu i prijavljuje se uobičajenim korisničkim imenom i lozinkom.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Samo poslovne baze: </w:t>
      </w:r>
      <w:r>
        <w:rPr>
          <w:rFonts w:ascii="Arial" w:hAnsi="Arial"/>
          <w:color w:val="17211D"/>
          <w:sz w:val="20"/>
        </w:rPr>
        <w:t>administratorski DSN-ovi i baze koje vode do datoteke admin.db automatski su izostavljeni iz izbora, bez izmene Windows ODBC podešavanja.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Lokalna Glavna baza: </w:t>
      </w:r>
      <w:r>
        <w:rPr>
          <w:rFonts w:ascii="Arial" w:hAnsi="Arial"/>
          <w:color w:val="17211D"/>
          <w:sz w:val="20"/>
        </w:rPr>
        <w:t>ako DSN ne postoji, korisnik bira Windows folder sa svežom kopijom datoteke pop97.db i pripadajućim log datotekama.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Lokalna Uporedna baza: </w:t>
      </w:r>
      <w:r>
        <w:rPr>
          <w:rFonts w:ascii="Arial" w:hAnsi="Arial"/>
          <w:color w:val="17211D"/>
          <w:sz w:val="20"/>
        </w:rPr>
        <w:t>opciono se bira drugi folder za referentnu poslovnu godinu; Glavna i Uporedna baza ne mogu biti isti izvor.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Privatni radni primerci: </w:t>
      </w:r>
      <w:r>
        <w:rPr>
          <w:rFonts w:ascii="Arial" w:hAnsi="Arial"/>
          <w:color w:val="17211D"/>
          <w:sz w:val="20"/>
        </w:rPr>
        <w:t>Radar pravi izdvojene kopije, pokreće ih samo lokalno i po zatvaranju uklanja privremene podatke i procese.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Izvorne datoteke ostaju netaknute: </w:t>
      </w:r>
      <w:r>
        <w:rPr>
          <w:rFonts w:ascii="Arial" w:hAnsi="Arial"/>
          <w:color w:val="17211D"/>
          <w:sz w:val="20"/>
        </w:rPr>
        <w:t>izabrane baze i logovi se ne pomeraju, ne preimenuju i ne otvaraju direktno za obradu.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Isti poslovni obračuni: </w:t>
      </w:r>
      <w:r>
        <w:rPr>
          <w:rFonts w:ascii="Arial" w:hAnsi="Arial"/>
          <w:color w:val="17211D"/>
          <w:sz w:val="20"/>
        </w:rPr>
        <w:t>datum preseka, srpska slova i poslovne celine obrađuju se jednako preko DSN-a i iz privatne lokalne kopije.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Tvrda read-only granica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nad Calculus podacima dozvoljava samo upite za čitanje. Ne izvršava INSERT, UPDATE, DELETE, DDL ni procedure koje menjaju bazu; nalaz može sadržati preporuku, ali intervenciju obavlja korisnik ili ovlašćeni stručnjak.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Pravo korišćenja SQL Anywhere komponenti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Lokalni režim aktivira se tek pošto korisnik potvrdi da za Sybase SQL Anywhere komponente ima važeće pravo korišćenja ili licencu.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Novi upravljački paket v2.6.2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Druga glavna verzija ne prikazuje samo šta se dogodilo. Ona iz istog preseka izdvaja gde menadžment treba da reaguje, šta vezuje novac i koji poslovni tok usporava rezultat.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Centar za upravljačke akcije: </w:t>
      </w:r>
      <w:r>
        <w:rPr>
          <w:rFonts w:ascii="Arial" w:hAnsi="Arial"/>
          <w:color w:val="17211D"/>
          <w:sz w:val="20"/>
        </w:rPr>
        <w:t>rangira do deset najvažnijih signala po ozbiljnosti, finansijskom efektu i trajanju, uz odgovorni sektor i narednu proveru.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NBS kontrola tekućih računa: </w:t>
      </w:r>
      <w:r>
        <w:rPr>
          <w:rFonts w:ascii="Arial" w:hAnsi="Arial"/>
          <w:color w:val="17211D"/>
          <w:sz w:val="20"/>
        </w:rPr>
        <w:t>read-only poredi račune firme iz Calculusa sa javnim registrom NBS i izdvaja signal blokade i račune koji zahtevaju usklađenje šifarnika.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Prognoza do 31.12.: </w:t>
      </w:r>
      <w:r>
        <w:rPr>
          <w:rFonts w:ascii="Arial" w:hAnsi="Arial"/>
          <w:color w:val="17211D"/>
          <w:sz w:val="20"/>
        </w:rPr>
        <w:t>odvaja ostvarenje od konzervativnog, očekivanog i optimističnog scenarija prihoda, rashoda, EBITDA, rezultata, gotovine i obrtnog kapitala.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Obrtni kapital i ciklus gotovine: </w:t>
      </w:r>
      <w:r>
        <w:rPr>
          <w:rFonts w:ascii="Arial" w:hAnsi="Arial"/>
          <w:color w:val="17211D"/>
          <w:sz w:val="20"/>
        </w:rPr>
        <w:t>objedinjuje DSO, dane zaliha, DPO i simulaciju oslobađanja gotovine skraćenjem naplate i obrta zaliha.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Rizik koncentracije: </w:t>
      </w:r>
      <w:r>
        <w:rPr>
          <w:rFonts w:ascii="Arial" w:hAnsi="Arial"/>
          <w:color w:val="17211D"/>
          <w:sz w:val="20"/>
        </w:rPr>
        <w:t>meri zavisnost prodaje, marže, potraživanja i nabavke od najvećih kupaca i dobavljača.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Profit-Volume-Mix: </w:t>
      </w:r>
      <w:r>
        <w:rPr>
          <w:rFonts w:ascii="Arial" w:hAnsi="Arial"/>
          <w:color w:val="17211D"/>
          <w:sz w:val="20"/>
        </w:rPr>
        <w:t>objašnjava promenu bruto razlike kroz efekat obima, prodajne i nabavne cene, novih i izgubljenih artikala.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Brzina procesa: </w:t>
      </w:r>
      <w:r>
        <w:rPr>
          <w:rFonts w:ascii="Arial" w:hAnsi="Arial"/>
          <w:color w:val="17211D"/>
          <w:sz w:val="20"/>
        </w:rPr>
        <w:t>prati dokazive veze porudžbina-isporuka-faktura-naplata i izdvaja zaglavljene dokumente i usko grlo.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Rang-lista poslovnih jedinica: </w:t>
      </w:r>
      <w:r>
        <w:rPr>
          <w:rFonts w:ascii="Arial" w:hAnsi="Arial"/>
          <w:color w:val="17211D"/>
          <w:sz w:val="20"/>
        </w:rPr>
        <w:t>rangira uporedive prodajne celine po doprinosu bruto razlici i označava jedinice koje traže reakciju.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Plan prodaje i nabavke: </w:t>
      </w:r>
      <w:r>
        <w:rPr>
          <w:rFonts w:ascii="Arial" w:hAnsi="Arial"/>
          <w:color w:val="17211D"/>
          <w:sz w:val="20"/>
        </w:rPr>
        <w:t>poredi zvanične Calculus planove sa realizacijom i prikazuje statuse Poručiti, U dolasku i Stiglo.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Jedan datum, jedan obuhvat, jedan dokaziv rezultat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Sve nove celine poštuju isti datum preseka, izabrani status dokumenata, interne komitente, prava korisnika i kontrolisani PDF/DOCX/XLSX/AI/Power BI izvoz.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Operativni tokovi pod kontrolom</w:t>
      </w:r>
    </w:p>
    <w:p>
      <w:pPr>
        <w:pStyle w:val="Heading2"/>
        <w:keepNext/>
      </w:pPr>
      <w:r>
        <w:t>Prodaja, kupci i zalihe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Prodaja i fakturisanje: </w:t>
      </w:r>
      <w:r>
        <w:rPr>
          <w:rFonts w:ascii="Arial" w:hAnsi="Arial"/>
          <w:color w:val="17211D"/>
          <w:sz w:val="20"/>
        </w:rPr>
        <w:t>realizacija, broj dokumenata, kanali, kupci, artikli i trendovi.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Potraživanja i obaveze: </w:t>
      </w:r>
      <w:r>
        <w:rPr>
          <w:rFonts w:ascii="Arial" w:hAnsi="Arial"/>
          <w:color w:val="17211D"/>
          <w:sz w:val="20"/>
        </w:rPr>
        <w:t>strogo u okviru poslovne godine i izabranog datuma preseka, sa dospećima i starosnom strukturom kada podaci to omogućavaju.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Zalihe: </w:t>
      </w:r>
      <w:r>
        <w:rPr>
          <w:rFonts w:ascii="Arial" w:hAnsi="Arial"/>
          <w:color w:val="17211D"/>
          <w:sz w:val="20"/>
        </w:rPr>
        <w:t>vrednost i količine po magacinima, spora i mrtva zaliha, kritični nedostaci i upozorenja o negativnoj valorizaciji.</w:t>
      </w:r>
    </w:p>
    <w:p>
      <w:pPr>
        <w:pStyle w:val="Heading2"/>
        <w:keepNext/>
      </w:pPr>
      <w:r>
        <w:t>Nabavka i prijem robe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Prijemnice: </w:t>
      </w:r>
      <w:r>
        <w:rPr>
          <w:rFonts w:ascii="Arial" w:hAnsi="Arial"/>
          <w:color w:val="17211D"/>
          <w:sz w:val="20"/>
        </w:rPr>
        <w:t>broj prijema, dobavljačka i nabavna vrednost i procenat pokrivenosti nabavnom vrednošću.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Dobavljači, magacini i artikli: </w:t>
      </w:r>
      <w:r>
        <w:rPr>
          <w:rFonts w:ascii="Arial" w:hAnsi="Arial"/>
          <w:color w:val="17211D"/>
          <w:sz w:val="20"/>
        </w:rPr>
        <w:t>pregled strukture nabavke i dnevna dinamika poslednjih 30 dana.</w:t>
      </w:r>
    </w:p>
    <w:p>
      <w:pPr>
        <w:pStyle w:val="Heading2"/>
        <w:keepNext/>
      </w:pPr>
      <w:r>
        <w:t>Posebne poslovne celine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Proizvodnja: </w:t>
      </w:r>
      <w:r>
        <w:rPr>
          <w:rFonts w:ascii="Arial" w:hAnsi="Arial"/>
          <w:color w:val="17211D"/>
          <w:sz w:val="20"/>
        </w:rPr>
        <w:t>radni nalozi, planirane i realizovane količine, utrošak, predaja proizvoda i otvoreni nalozi - kada firma koristi odgovarajući tok.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Web-shop: </w:t>
      </w:r>
      <w:r>
        <w:rPr>
          <w:rFonts w:ascii="Arial" w:hAnsi="Arial"/>
          <w:color w:val="17211D"/>
          <w:sz w:val="20"/>
        </w:rPr>
        <w:t>realizovane isporuke, veza sa prodajnim dokumentima, vrednost realizacije i isporuke sa negativnom maržom.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B2B / SEF: </w:t>
      </w:r>
      <w:r>
        <w:rPr>
          <w:rFonts w:ascii="Arial" w:hAnsi="Arial"/>
          <w:color w:val="17211D"/>
          <w:sz w:val="20"/>
        </w:rPr>
        <w:t>statusi elektronske razmene, završeni i uvezeni dokumenti, tekuće greške i upozorenja.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Bez lažne nule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Ako baza nema određeni modul ili nema dovoljno pouzdane podatke, Radar izveštaj označava kao nedostupan umesto da izmisli rezultat ili prikaže nulu bez osnova.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Finansijska slika i YoY — Poređenje godina</w:t>
      </w:r>
    </w:p>
    <w:p>
      <w:pPr>
        <w:pStyle w:val="Heading2"/>
        <w:keepNext/>
      </w:pPr>
      <w:r>
        <w:t>Preliminarni finansijski izveštaji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Bruto bilans: </w:t>
      </w:r>
      <w:r>
        <w:rPr>
          <w:rFonts w:ascii="Arial" w:hAnsi="Arial"/>
          <w:color w:val="17211D"/>
          <w:sz w:val="20"/>
        </w:rPr>
        <w:t>početno stanje, promet i saldo po kontima, sa kontrolom ravnoteže.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Bilans uspeha: </w:t>
      </w:r>
      <w:r>
        <w:rPr>
          <w:rFonts w:ascii="Arial" w:hAnsi="Arial"/>
          <w:color w:val="17211D"/>
          <w:sz w:val="20"/>
        </w:rPr>
        <w:t>Calculus AOP raspored za privredna društva, prihodi, rashodi, poreski efekti i preliminarni rezultat.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Bilans stanja: </w:t>
      </w:r>
      <w:r>
        <w:rPr>
          <w:rFonts w:ascii="Arial" w:hAnsi="Arial"/>
          <w:color w:val="17211D"/>
          <w:sz w:val="20"/>
        </w:rPr>
        <w:t>AOP aktiva i pasiva, nezatvoren rezultat tekućeg perioda i upravljačko usklađenje.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Usklađenje AOP rezultata: </w:t>
      </w:r>
      <w:r>
        <w:rPr>
          <w:rFonts w:ascii="Arial" w:hAnsi="Arial"/>
          <w:color w:val="17211D"/>
          <w:sz w:val="20"/>
        </w:rPr>
        <w:t>jasno odvaja formalni Calculus obrazac od rezultata koji još nije zatvoren u Glavnoj knjizi.</w:t>
      </w:r>
    </w:p>
    <w:p>
      <w:pPr>
        <w:pStyle w:val="Heading2"/>
        <w:keepNext/>
      </w:pPr>
      <w:r>
        <w:t>Menadžerski pokazatelji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Profitabilnost: </w:t>
      </w:r>
      <w:r>
        <w:rPr>
          <w:rFonts w:ascii="Arial" w:hAnsi="Arial"/>
          <w:color w:val="17211D"/>
          <w:sz w:val="20"/>
        </w:rPr>
        <w:t>prihodi, rashodi, EBITDA, neto rezultat, bruto razlika i marža kada postoje pouzdani izvori.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Likvidnost i obrtni kapital: </w:t>
      </w:r>
      <w:r>
        <w:rPr>
          <w:rFonts w:ascii="Arial" w:hAnsi="Arial"/>
          <w:color w:val="17211D"/>
          <w:sz w:val="20"/>
        </w:rPr>
        <w:t>tekući i ubrzani racio, DSO, DPO, dani zaliha i ciklus konverzije gotovine.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Dug i kvalitet dobiti: </w:t>
      </w:r>
      <w:r>
        <w:rPr>
          <w:rFonts w:ascii="Arial" w:hAnsi="Arial"/>
          <w:color w:val="17211D"/>
          <w:sz w:val="20"/>
        </w:rPr>
        <w:t>bruto i neto dug, odnos neto duga i EBITDA, pokriće finansijskih rashoda i izdvajanje jednokratnih efekata.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Novčani tok i run-rate: </w:t>
      </w:r>
      <w:r>
        <w:rPr>
          <w:rFonts w:ascii="Arial" w:hAnsi="Arial"/>
          <w:color w:val="17211D"/>
          <w:sz w:val="20"/>
        </w:rPr>
        <w:t>upravljačka aproksimacija tokova i linearna projekcija do kraja godine kada postoji dovoljan period.</w:t>
      </w:r>
    </w:p>
    <w:p>
      <w:pPr>
        <w:pStyle w:val="Heading2"/>
        <w:keepNext/>
      </w:pPr>
      <w:r>
        <w:t>PDV prag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Za firme van sistema PDV-a Radar postepeno upozorava na približavanje zakonskom pragu i prikazuje crveni alarm po prelasku. Obračun se daje samo kada baze obezbeđuju neprekinutih 12 meseci potrebnih podataka.</w:t>
      </w:r>
    </w:p>
    <w:p>
      <w:r>
        <w:br w:type="page"/>
      </w:r>
    </w:p>
    <w:p>
      <w:pPr>
        <w:pStyle w:val="Heading1"/>
        <w:keepNext/>
      </w:pPr>
      <w:r>
        <w:t>Pouzdanost, bezbednost i dokumenti</w:t>
      </w:r>
    </w:p>
    <w:p>
      <w:pPr>
        <w:pStyle w:val="Heading2"/>
        <w:keepNext/>
      </w:pPr>
      <w:r>
        <w:t>Kontrolisan obuhvat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Proknjižena dokumenta: </w:t>
      </w:r>
      <w:r>
        <w:rPr>
          <w:rFonts w:ascii="Arial" w:hAnsi="Arial"/>
          <w:color w:val="17211D"/>
          <w:sz w:val="20"/>
        </w:rPr>
        <w:t>podrazumevani i službeni obuhvat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Sva dokumenta: </w:t>
      </w:r>
      <w:r>
        <w:rPr>
          <w:rFonts w:ascii="Arial" w:hAnsi="Arial"/>
          <w:color w:val="17211D"/>
          <w:sz w:val="20"/>
        </w:rPr>
        <w:t>radni scenario koji može uključiti izabrane neproknjižene operativne dokumente i naloge Glavne knjige, uz vidljivu oznaku neslužbenog rezultata.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Kontrole kvaliteta: </w:t>
      </w:r>
      <w:r>
        <w:rPr>
          <w:rFonts w:ascii="Arial" w:hAnsi="Arial"/>
          <w:color w:val="17211D"/>
          <w:sz w:val="20"/>
        </w:rPr>
        <w:t>početno stanje, završni nalozi, ravnoteža naloga, statusi robnih dokumenata, datumi i svežina baze.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Materijalna razlika cena: </w:t>
      </w:r>
      <w:r>
        <w:rPr>
          <w:rFonts w:ascii="Arial" w:hAnsi="Arial"/>
          <w:color w:val="17211D"/>
          <w:sz w:val="20"/>
        </w:rPr>
        <w:t>ignoriše tehnički šum manji od 1,00 u zajedničkoj valuti, a prodaju ispod nabavne cene ostavlja kao signal za proveru rabata i poslovnog razloga.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Status komitenata: </w:t>
      </w:r>
      <w:r>
        <w:rPr>
          <w:rFonts w:ascii="Arial" w:hAnsi="Arial"/>
          <w:color w:val="17211D"/>
          <w:sz w:val="20"/>
        </w:rPr>
        <w:t>kupci, dobavljači, državne institucije i banke ostaju Ostali; sopstveni objekti, prelazni i tehnički komitenti moraju biti Interni.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Delimično uspešan presek: </w:t>
      </w:r>
      <w:r>
        <w:rPr>
          <w:rFonts w:ascii="Arial" w:hAnsi="Arial"/>
          <w:color w:val="17211D"/>
          <w:sz w:val="20"/>
        </w:rPr>
        <w:t>ako pojedina poslovna celina ne može da se obradi, Radar jasno prikazuje neuspešne blokove, zadržava sve raspoložive rezultate i omogućava novo generisanje.</w:t>
      </w:r>
    </w:p>
    <w:p>
      <w:pPr>
        <w:pStyle w:val="Heading2"/>
        <w:keepNext/>
      </w:pPr>
      <w:r>
        <w:t>Pristup i zaštita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Lični nalozi i uloge: </w:t>
      </w:r>
      <w:r>
        <w:rPr>
          <w:rFonts w:ascii="Arial" w:hAnsi="Arial"/>
          <w:color w:val="17211D"/>
          <w:sz w:val="20"/>
        </w:rPr>
        <w:t>Administrator, Vlasnik/direktor, Menadžer i Referent, sa pojedinačnim pravima po izveštaju.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Automatsko zaključavanje: </w:t>
      </w:r>
      <w:r>
        <w:rPr>
          <w:rFonts w:ascii="Arial" w:hAnsi="Arial"/>
          <w:color w:val="17211D"/>
          <w:sz w:val="20"/>
        </w:rPr>
        <w:t>posle neaktivnosti zahteva novu ručnu prijavu i uklanja zapamćenu Radar lozinku.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Samo čitanje: </w:t>
      </w:r>
      <w:r>
        <w:rPr>
          <w:rFonts w:ascii="Arial" w:hAnsi="Arial"/>
          <w:color w:val="17211D"/>
          <w:sz w:val="20"/>
        </w:rPr>
        <w:t>Radar ne menja poslovne podatke u Calculus bazi; obrada i čuvanje preseka ostaju lokalni.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Javna NBS provera: </w:t>
      </w:r>
      <w:r>
        <w:rPr>
          <w:rFonts w:ascii="Arial" w:hAnsi="Arial"/>
          <w:color w:val="17211D"/>
          <w:sz w:val="20"/>
        </w:rPr>
        <w:t>prosleđuje samo javni matični broj ili PIB firme. Poslovni podaci se ne šalju, demo baze se preskaču, a zastareli keš ne proizvodi alarm.</w:t>
      </w:r>
    </w:p>
    <w:p>
      <w:pPr>
        <w:pStyle w:val="Heading2"/>
        <w:keepNext/>
      </w:pPr>
      <w:r>
        <w:t>Dokumenti za sastanke, elaborate i planove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PDF: </w:t>
      </w:r>
      <w:r>
        <w:rPr>
          <w:rFonts w:ascii="Arial" w:hAnsi="Arial"/>
          <w:color w:val="17211D"/>
          <w:sz w:val="20"/>
        </w:rPr>
        <w:t>uređen dokument za distribuciju, arhivu i pripremu sastanka.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DOCX: </w:t>
      </w:r>
      <w:r>
        <w:rPr>
          <w:rFonts w:ascii="Arial" w:hAnsi="Arial"/>
          <w:color w:val="17211D"/>
          <w:sz w:val="20"/>
        </w:rPr>
        <w:t>izmenjive tabele i tekst za specifične upravljačke izveštaje, poslovne i investicione planove.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XLSX: </w:t>
      </w:r>
      <w:r>
        <w:rPr>
          <w:rFonts w:ascii="Arial" w:hAnsi="Arial"/>
          <w:color w:val="17211D"/>
          <w:sz w:val="20"/>
        </w:rPr>
        <w:t>numeričke tabele spremne za Excel, Power BI i dalju BI obradu bez ručnog prepisivanja.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AI paket: </w:t>
      </w:r>
      <w:r>
        <w:rPr>
          <w:rFonts w:ascii="Arial" w:hAnsi="Arial"/>
          <w:color w:val="17211D"/>
          <w:sz w:val="20"/>
        </w:rPr>
        <w:t>lokalni ZIP sa JSON izveštajem, CSV tabelama, metodologijom i kontrolnim hash vrednostima; ništa se ne šalje automatski.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Power BI paket: </w:t>
      </w:r>
      <w:r>
        <w:rPr>
          <w:rFonts w:ascii="Arial" w:hAnsi="Arial"/>
          <w:color w:val="17211D"/>
          <w:sz w:val="20"/>
        </w:rPr>
        <w:t>stabilan BI model, jedan Excel izvor, detaljne CSV tabele, Power Query osnova i kontrolni manifest bez direktnog povezivanja Power BI-ja na Calculus bazu.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Pojmovnik: </w:t>
      </w:r>
      <w:r>
        <w:rPr>
          <w:rFonts w:ascii="Arial" w:hAnsi="Arial"/>
          <w:color w:val="17211D"/>
          <w:sz w:val="20"/>
        </w:rPr>
        <w:t>praktično objašnjava KPI, YTD, MTD, YoY, CAGR, EBITDA, DSO, DPO, obrtni kapital i druge termine.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Od Radara do upravljačke prezentacije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AI paket se može probno analizirati u ChatGPT-u u okviru ograničenja naloga. Posle analize direktor može tražiti i PPTX prezentaciju za upravu, banku ili investitore.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Važna napomena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je upravljački i servisni alat. Rezultati zavise od potpunosti, tačnosti i ažurnosti podataka u Calculus bazi i ne zamenjuju zvanične obrasce niti stručnu proveru računovođe.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Izaberite licencu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Trajna licenca za jednu registrovanu firmu, bez mesečne pretplate. Nove verzije uključene su 12 meseci.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color="D6DDD8"/>
          <w:left w:val="single" w:sz="7" w:color="D6DDD8"/>
          <w:bottom w:val="single" w:sz="7" w:color="D6DDD8"/>
          <w:right w:val="single" w:sz="7" w:color="D6DDD8"/>
          <w:insideH w:val="single" w:sz="7" w:color="D6DDD8"/>
          <w:insideV w:val="single" w:sz="7" w:color="D6DDD8"/>
        </w:tblBorders>
      </w:tblPr>
      <w:tblGrid>
        <w:gridCol w:w="3175"/>
        <w:gridCol w:w="3175"/>
        <w:gridCol w:w="3175"/>
      </w:tblGrid>
      <w:tr>
        <w:trPr>
          <w:tblHeader w:val="true"/>
        </w:trP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Licenca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Radna mesta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Cena bez PDV-a</w:t>
            </w:r>
          </w:p>
        </w:tc>
      </w:tr>
      <w:t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17211D"/>
                <w:sz w:val="20"/>
              </w:rPr>
              <w:t>Jedno licencirano radno mesto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1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14.990 RSD</w:t>
            </w:r>
          </w:p>
        </w:tc>
      </w:tr>
      <w:t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17211D"/>
                <w:sz w:val="20"/>
              </w:rPr>
              <w:t>Do pet licenciranih radnih mesta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do 5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59.990 RSD</w:t>
            </w:r>
          </w:p>
        </w:tc>
      </w:tr>
    </w:tbl>
    <w:p>
      <w:pPr>
        <w:pStyle w:val="Heading2"/>
        <w:keepNext/>
      </w:pPr>
      <w:r>
        <w:t>Zašto razmotriti kupovinu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Vreme: </w:t>
      </w:r>
      <w:r>
        <w:rPr>
          <w:rFonts w:ascii="Arial" w:hAnsi="Arial"/>
          <w:color w:val="17211D"/>
          <w:sz w:val="20"/>
        </w:rPr>
        <w:t>jedan zahtev zamenjuje ručno prikupljanje i usaglašavanje više odvojenih pregleda.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Kontrola: </w:t>
      </w:r>
      <w:r>
        <w:rPr>
          <w:rFonts w:ascii="Arial" w:hAnsi="Arial"/>
          <w:color w:val="17211D"/>
          <w:sz w:val="20"/>
        </w:rPr>
        <w:t>ključni iznosi, statusi i upozorenja imaju vidljiv period, obuhvat i izvor.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Fokus: </w:t>
      </w:r>
      <w:r>
        <w:rPr>
          <w:rFonts w:ascii="Arial" w:hAnsi="Arial"/>
          <w:color w:val="17211D"/>
          <w:sz w:val="20"/>
        </w:rPr>
        <w:t>menadžment odmah vidi gde treba otvoriti detalj i ko treba da reaguje.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Upotrebljivost: </w:t>
      </w:r>
      <w:r>
        <w:rPr>
          <w:rFonts w:ascii="Arial" w:hAnsi="Arial"/>
          <w:color w:val="17211D"/>
          <w:sz w:val="20"/>
        </w:rPr>
        <w:t>bez posebnog BI projekta dobija se standardizovan presek, odmah primenljiv u Excelu, Power BI-ju ili AI analizi.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Pogledajte Radar i izaberite licencu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Posetite stranicu proizvoda na sagitarion.com. Tu možete preuzeti uputstvo, pogledati mogućnosti programa i poslati porudžbinu.</w:t>
            </w:r>
          </w:p>
        </w:tc>
      </w:tr>
    </w:tbl>
    <w:p>
      <w:pPr>
        <w:spacing w:after="0"/>
      </w:pPr>
    </w:p>
    <w:p>
      <w:pPr>
        <w:keepNext w:val="0"/>
        <w:spacing w:before="160" w:after="80" w:line="259" w:lineRule="auto"/>
        <w:jc w:val="center"/>
      </w:pPr>
      <w:r>
        <w:rPr>
          <w:rFonts w:ascii="Arial" w:hAnsi="Arial"/>
          <w:b/>
          <w:color w:val="173A2F"/>
          <w:sz w:val="30"/>
        </w:rPr>
        <w:t>www.sagitarion.com</w:t>
      </w:r>
    </w:p>
    <w:p>
      <w:pPr>
        <w:keepNext w:val="0"/>
        <w:spacing w:before="0" w:after="120" w:line="269" w:lineRule="auto"/>
        <w:jc w:val="center"/>
      </w:pPr>
      <w:r>
        <w:rPr>
          <w:rFonts w:ascii="Arial" w:hAnsi="Arial"/>
          <w:b w:val="0"/>
          <w:i/>
          <w:color w:val="5E6B65"/>
          <w:sz w:val="20"/>
        </w:rPr>
        <w:t>Calculus Poslovni Radar • trenutna krvna slika firme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191" w:bottom="964" w:left="1191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59" w:lineRule="auto"/>
      <w:jc w:val="center"/>
    </w:pPr>
    <w:r>
      <w:rPr>
        <w:rFonts w:ascii="Arial" w:hAnsi="Arial"/>
        <w:color w:val="5E6B65"/>
        <w:sz w:val="16"/>
      </w:rPr>
      <w:t xml:space="preserve">Funkcije verzije 2.6.2  •  sagitarion.com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59" w:lineRule="auto"/>
      <w:jc w:val="left"/>
    </w:pPr>
    <w:r>
      <w:rPr>
        <w:rFonts w:ascii="Arial" w:hAnsi="Arial"/>
        <w:b/>
        <w:color w:val="173A2F"/>
        <w:sz w:val="16"/>
      </w:rPr>
      <w:t>SAGITARION  |  CALCULUS POSLOVNI RADAR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21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173A2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F594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F594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ind w:left="369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Calculus Poslovni Radar - funkcije verzije 2.6.2</dc:title>
  <dc:subject>Pregled funkcija i licenci</dc:subject>
  <dc:creator>SAGITARION Subotica</dc:creator>
  <cp:keywords>Calculus 12, Poslovni Radar, upravljačko izveštavanje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