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b/>
          <w:color w:val="BD8B39"/>
          <w:sz w:val="16"/>
        </w:rPr>
        <w:t>UGOVOR O POSLOVNOJ SARADNJI</w:t>
      </w:r>
    </w:p>
    <w:p>
      <w:pPr>
        <w:pStyle w:val="Title"/>
      </w:pPr>
      <w:r>
        <w:t>Ugovor o Partnerskom programu</w:t>
      </w:r>
    </w:p>
    <w:p>
      <w:pPr>
        <w:spacing w:after="280"/>
      </w:pPr>
      <w:r>
        <w:rPr>
          <w:color w:val="647069"/>
          <w:sz w:val="22"/>
        </w:rPr>
        <w:t>zaključen između SAGITARION-a i registrovanog poslovnog partnera</w:t>
      </w:r>
    </w:p>
    <w:p>
      <w:pPr>
        <w:spacing w:after="240"/>
      </w:pPr>
      <w:r>
        <w:rPr>
          <w:b/>
          <w:color w:val="234D3C"/>
        </w:rPr>
        <w:t xml:space="preserve">SAGITARION: </w:t>
      </w:r>
      <w:r>
        <w:t>IRENA TASIĆ PR IZDAVANJE OSTALIH SOFTVERA SAGITARION SUBOTICA, 8. MARTA 9V, sprat 3, stan 48, 24111 Subotica, PIB 115426039, MB 68357241, koju zastupa Irena Tasić (u daljem tekstu: SAGITARION).</w:t>
      </w:r>
    </w:p>
    <w:tbl>
      <w:tblPr>
        <w:tblW w:type="auto" w:w="0"/>
        <w:jc w:val="center"/>
        <w:tblLayout w:type="fixed"/>
        <w:tblLook w:firstColumn="1" w:firstRow="1" w:lastColumn="0" w:lastRow="0" w:noHBand="0" w:noVBand="1" w:val="04A0"/>
      </w:tblPr>
      <w:tblGrid>
        <w:gridCol w:w="2948"/>
        <w:gridCol w:w="6917"/>
      </w:tblGrid>
      <w:tr>
        <w:tc>
          <w:tcPr>
            <w:tcW w:type="dxa" w:w="2948"/>
            <w:tcMar>
              <w:top w:w="90" w:type="dxa"/>
              <w:start w:w="110" w:type="dxa"/>
              <w:bottom w:w="90" w:type="dxa"/>
              <w:end w:w="110" w:type="dxa"/>
            </w:tcMar>
            <w:vAlign w:val="center"/>
            <w:shd w:fill="F5F1E8"/>
          </w:tcPr>
          <w:p>
            <w:r>
              <w:rPr>
                <w:b/>
                <w:color w:val="234D3C"/>
              </w:rPr>
              <w:t>Partner — puno poslovno ime</w:t>
            </w:r>
          </w:p>
        </w:tc>
        <w:tc>
          <w:tcPr>
            <w:tcW w:type="dxa" w:w="6917"/>
            <w:tcMar>
              <w:top w:w="90" w:type="dxa"/>
              <w:start w:w="110" w:type="dxa"/>
              <w:bottom w:w="90" w:type="dxa"/>
              <w:end w:w="110" w:type="dxa"/>
            </w:tcMar>
            <w:vAlign w:val="center"/>
            <w:shd w:fill="FCFAF6"/>
          </w:tcPr>
          <w:p>
            <w:r>
              <w:t>____________________________________________________________</w:t>
            </w:r>
          </w:p>
        </w:tc>
      </w:tr>
      <w:tr>
        <w:tc>
          <w:tcPr>
            <w:tcW w:type="dxa" w:w="2948"/>
            <w:tcMar>
              <w:top w:w="90" w:type="dxa"/>
              <w:start w:w="110" w:type="dxa"/>
              <w:bottom w:w="90" w:type="dxa"/>
              <w:end w:w="110" w:type="dxa"/>
            </w:tcMar>
            <w:vAlign w:val="center"/>
            <w:shd w:fill="EFE9DD"/>
          </w:tcPr>
          <w:p>
            <w:r>
              <w:rPr>
                <w:b/>
                <w:color w:val="234D3C"/>
              </w:rPr>
              <w:t>Sedište i adresa</w:t>
            </w:r>
          </w:p>
        </w:tc>
        <w:tc>
          <w:tcPr>
            <w:tcW w:type="dxa" w:w="6917"/>
            <w:tcMar>
              <w:top w:w="90" w:type="dxa"/>
              <w:start w:w="110" w:type="dxa"/>
              <w:bottom w:w="90" w:type="dxa"/>
              <w:end w:w="110" w:type="dxa"/>
            </w:tcMar>
            <w:vAlign w:val="center"/>
          </w:tcPr>
          <w:p>
            <w:r>
              <w:t>____________________________________________________________</w:t>
            </w:r>
          </w:p>
        </w:tc>
      </w:tr>
      <w:tr>
        <w:tc>
          <w:tcPr>
            <w:tcW w:type="dxa" w:w="2948"/>
            <w:tcMar>
              <w:top w:w="90" w:type="dxa"/>
              <w:start w:w="110" w:type="dxa"/>
              <w:bottom w:w="90" w:type="dxa"/>
              <w:end w:w="110" w:type="dxa"/>
            </w:tcMar>
            <w:vAlign w:val="center"/>
            <w:shd w:fill="F5F1E8"/>
          </w:tcPr>
          <w:p>
            <w:r>
              <w:rPr>
                <w:b/>
                <w:color w:val="234D3C"/>
              </w:rPr>
              <w:t>PIB</w:t>
            </w:r>
          </w:p>
        </w:tc>
        <w:tc>
          <w:tcPr>
            <w:tcW w:type="dxa" w:w="6917"/>
            <w:tcMar>
              <w:top w:w="90" w:type="dxa"/>
              <w:start w:w="110" w:type="dxa"/>
              <w:bottom w:w="90" w:type="dxa"/>
              <w:end w:w="110" w:type="dxa"/>
            </w:tcMar>
            <w:vAlign w:val="center"/>
            <w:shd w:fill="FCFAF6"/>
          </w:tcPr>
          <w:p>
            <w:r>
              <w:t>________________________</w:t>
            </w:r>
          </w:p>
        </w:tc>
      </w:tr>
      <w:tr>
        <w:tc>
          <w:tcPr>
            <w:tcW w:type="dxa" w:w="2948"/>
            <w:tcMar>
              <w:top w:w="90" w:type="dxa"/>
              <w:start w:w="110" w:type="dxa"/>
              <w:bottom w:w="90" w:type="dxa"/>
              <w:end w:w="110" w:type="dxa"/>
            </w:tcMar>
            <w:vAlign w:val="center"/>
            <w:shd w:fill="EFE9DD"/>
          </w:tcPr>
          <w:p>
            <w:r>
              <w:rPr>
                <w:b/>
                <w:color w:val="234D3C"/>
              </w:rPr>
              <w:t>Matični broj</w:t>
            </w:r>
          </w:p>
        </w:tc>
        <w:tc>
          <w:tcPr>
            <w:tcW w:type="dxa" w:w="6917"/>
            <w:tcMar>
              <w:top w:w="90" w:type="dxa"/>
              <w:start w:w="110" w:type="dxa"/>
              <w:bottom w:w="90" w:type="dxa"/>
              <w:end w:w="110" w:type="dxa"/>
            </w:tcMar>
            <w:vAlign w:val="center"/>
          </w:tcPr>
          <w:p>
            <w:r>
              <w:t>________________________</w:t>
            </w:r>
          </w:p>
        </w:tc>
      </w:tr>
      <w:tr>
        <w:tc>
          <w:tcPr>
            <w:tcW w:type="dxa" w:w="2948"/>
            <w:tcMar>
              <w:top w:w="90" w:type="dxa"/>
              <w:start w:w="110" w:type="dxa"/>
              <w:bottom w:w="90" w:type="dxa"/>
              <w:end w:w="110" w:type="dxa"/>
            </w:tcMar>
            <w:vAlign w:val="center"/>
            <w:shd w:fill="F5F1E8"/>
          </w:tcPr>
          <w:p>
            <w:r>
              <w:rPr>
                <w:b/>
                <w:color w:val="234D3C"/>
              </w:rPr>
              <w:t>Ovlašćeno lice</w:t>
            </w:r>
          </w:p>
        </w:tc>
        <w:tc>
          <w:tcPr>
            <w:tcW w:type="dxa" w:w="6917"/>
            <w:tcMar>
              <w:top w:w="90" w:type="dxa"/>
              <w:start w:w="110" w:type="dxa"/>
              <w:bottom w:w="90" w:type="dxa"/>
              <w:end w:w="110" w:type="dxa"/>
            </w:tcMar>
            <w:vAlign w:val="center"/>
            <w:shd w:fill="FCFAF6"/>
          </w:tcPr>
          <w:p>
            <w:r>
              <w:t>____________________________________________________________</w:t>
            </w:r>
          </w:p>
        </w:tc>
      </w:tr>
      <w:tr>
        <w:tc>
          <w:tcPr>
            <w:tcW w:type="dxa" w:w="2948"/>
            <w:tcMar>
              <w:top w:w="90" w:type="dxa"/>
              <w:start w:w="110" w:type="dxa"/>
              <w:bottom w:w="90" w:type="dxa"/>
              <w:end w:w="110" w:type="dxa"/>
            </w:tcMar>
            <w:vAlign w:val="center"/>
            <w:shd w:fill="EFE9DD"/>
          </w:tcPr>
          <w:p>
            <w:r>
              <w:rPr>
                <w:b/>
                <w:color w:val="234D3C"/>
              </w:rPr>
              <w:t>Poslovna e-adresa i telefon</w:t>
            </w:r>
          </w:p>
        </w:tc>
        <w:tc>
          <w:tcPr>
            <w:tcW w:type="dxa" w:w="6917"/>
            <w:tcMar>
              <w:top w:w="90" w:type="dxa"/>
              <w:start w:w="110" w:type="dxa"/>
              <w:bottom w:w="90" w:type="dxa"/>
              <w:end w:w="110" w:type="dxa"/>
            </w:tcMar>
            <w:vAlign w:val="center"/>
          </w:tcPr>
          <w:p>
            <w:r>
              <w:t>____________________________________________________________</w:t>
            </w:r>
          </w:p>
        </w:tc>
      </w:tr>
      <w:tr>
        <w:tc>
          <w:tcPr>
            <w:tcW w:type="dxa" w:w="2948"/>
            <w:tcMar>
              <w:top w:w="90" w:type="dxa"/>
              <w:start w:w="110" w:type="dxa"/>
              <w:bottom w:w="90" w:type="dxa"/>
              <w:end w:w="110" w:type="dxa"/>
            </w:tcMar>
            <w:vAlign w:val="center"/>
            <w:shd w:fill="F5F1E8"/>
          </w:tcPr>
          <w:p>
            <w:r>
              <w:rPr>
                <w:b/>
                <w:color w:val="234D3C"/>
              </w:rPr>
              <w:t>Broj ugovora</w:t>
            </w:r>
          </w:p>
        </w:tc>
        <w:tc>
          <w:tcPr>
            <w:tcW w:type="dxa" w:w="6917"/>
            <w:tcMar>
              <w:top w:w="90" w:type="dxa"/>
              <w:start w:w="110" w:type="dxa"/>
              <w:bottom w:w="90" w:type="dxa"/>
              <w:end w:w="110" w:type="dxa"/>
            </w:tcMar>
            <w:vAlign w:val="center"/>
            <w:shd w:fill="FCFAF6"/>
          </w:tcPr>
          <w:p>
            <w:r>
              <w:t>PP-________/20____</w:t>
            </w:r>
          </w:p>
        </w:tc>
      </w:tr>
      <w:tr>
        <w:tc>
          <w:tcPr>
            <w:tcW w:type="dxa" w:w="2948"/>
            <w:tcMar>
              <w:top w:w="90" w:type="dxa"/>
              <w:start w:w="110" w:type="dxa"/>
              <w:bottom w:w="90" w:type="dxa"/>
              <w:end w:w="110" w:type="dxa"/>
            </w:tcMar>
            <w:vAlign w:val="center"/>
            <w:shd w:fill="EFE9DD"/>
          </w:tcPr>
          <w:p>
            <w:r>
              <w:rPr>
                <w:b/>
                <w:color w:val="234D3C"/>
              </w:rPr>
              <w:t>Datum i mesto zaključenja</w:t>
            </w:r>
          </w:p>
        </w:tc>
        <w:tc>
          <w:tcPr>
            <w:tcW w:type="dxa" w:w="6917"/>
            <w:tcMar>
              <w:top w:w="90" w:type="dxa"/>
              <w:start w:w="110" w:type="dxa"/>
              <w:bottom w:w="90" w:type="dxa"/>
              <w:end w:w="110" w:type="dxa"/>
            </w:tcMar>
            <w:vAlign w:val="center"/>
          </w:tcPr>
          <w:p>
            <w:r>
              <w:t>________________________, ________________________</w:t>
            </w:r>
          </w:p>
        </w:tc>
      </w:tr>
      <w:tr>
        <w:tc>
          <w:tcPr>
            <w:tcW w:type="dxa" w:w="2948"/>
            <w:tcMar>
              <w:top w:w="90" w:type="dxa"/>
              <w:start w:w="110" w:type="dxa"/>
              <w:bottom w:w="90" w:type="dxa"/>
              <w:end w:w="110" w:type="dxa"/>
            </w:tcMar>
            <w:vAlign w:val="center"/>
            <w:shd w:fill="F5F1E8"/>
          </w:tcPr>
          <w:p>
            <w:r>
              <w:rPr>
                <w:b/>
                <w:color w:val="234D3C"/>
              </w:rPr>
              <w:t>Važi od / do</w:t>
            </w:r>
          </w:p>
        </w:tc>
        <w:tc>
          <w:tcPr>
            <w:tcW w:type="dxa" w:w="6917"/>
            <w:tcMar>
              <w:top w:w="90" w:type="dxa"/>
              <w:start w:w="110" w:type="dxa"/>
              <w:bottom w:w="90" w:type="dxa"/>
              <w:end w:w="110" w:type="dxa"/>
            </w:tcMar>
            <w:vAlign w:val="center"/>
            <w:shd w:fill="FCFAF6"/>
          </w:tcPr>
          <w:p>
            <w:r>
              <w:t>________________________ / ________________________</w:t>
            </w:r>
          </w:p>
        </w:tc>
      </w:tr>
    </w:tbl>
    <w:p>
      <w:pPr>
        <w:pStyle w:val="Heading1"/>
      </w:pPr>
      <w:r>
        <w:t>Član 1 — Predmet ugovora</w:t>
      </w:r>
    </w:p>
    <w:p>
      <w:pPr>
        <w:keepLines w:val="0"/>
      </w:pPr>
      <w:r>
        <w:t>Ovim ugovorom uređuju se uslovi pod kojima Partner preporučuje SAGITARION poslovne programe, licence, elektronske priručnike i povezane proizvode poslovnim kupcima, kao i način pripisivanja prodaje, obračuna i isplate provizije.</w:t>
      </w:r>
    </w:p>
    <w:p>
      <w:pPr>
        <w:keepLines w:val="0"/>
      </w:pPr>
      <w:r>
        <w:t>Partner nastupa kao nezavisno poslovno lice. Ovaj ugovor ne zasniva radni odnos, zastupništvo, franšizu, zajedničko ulaganje niti ovlašćenje Partnera da u ime SAGITARION-a zaključuje ugovore, prima novac, menja cenu ili daje garancije.</w:t>
      </w:r>
    </w:p>
    <w:p>
      <w:pPr>
        <w:pStyle w:val="Heading1"/>
      </w:pPr>
      <w:r>
        <w:t>Član 2 — Proizvodi i ugovorene stope</w:t>
      </w:r>
    </w:p>
    <w:tbl>
      <w:tblPr>
        <w:tblW w:type="auto" w:w="0"/>
        <w:jc w:val="center"/>
        <w:tblLayout w:type="fixed"/>
        <w:tblLook w:firstColumn="1" w:firstRow="1" w:lastColumn="0" w:lastRow="0" w:noHBand="0" w:noVBand="1" w:val="04A0"/>
      </w:tblPr>
      <w:tblGrid>
        <w:gridCol w:w="1973"/>
        <w:gridCol w:w="1973"/>
        <w:gridCol w:w="1973"/>
        <w:gridCol w:w="1973"/>
        <w:gridCol w:w="1973"/>
      </w:tblGrid>
      <w:tr>
        <w:trPr>
          <w:tblHeader w:val="true"/>
        </w:trPr>
        <w:tc>
          <w:tcPr>
            <w:tcW w:type="dxa" w:w="510"/>
            <w:shd w:fill="234D3C"/>
            <w:tcMar>
              <w:top w:w="100" w:type="dxa"/>
              <w:start w:w="85" w:type="dxa"/>
              <w:bottom w:w="100" w:type="dxa"/>
              <w:end w:w="85" w:type="dxa"/>
            </w:tcMar>
            <w:vAlign w:val="center"/>
          </w:tcPr>
          <w:p>
            <w:r>
              <w:rPr>
                <w:b/>
                <w:color w:val="FFFFFF"/>
                <w:sz w:val="16"/>
              </w:rPr>
              <w:t>R.br.</w:t>
            </w:r>
          </w:p>
        </w:tc>
        <w:tc>
          <w:tcPr>
            <w:tcW w:type="dxa" w:w="3515"/>
            <w:shd w:fill="234D3C"/>
            <w:tcMar>
              <w:top w:w="100" w:type="dxa"/>
              <w:start w:w="85" w:type="dxa"/>
              <w:bottom w:w="100" w:type="dxa"/>
              <w:end w:w="85" w:type="dxa"/>
            </w:tcMar>
            <w:vAlign w:val="center"/>
          </w:tcPr>
          <w:p>
            <w:r>
              <w:rPr>
                <w:b/>
                <w:color w:val="FFFFFF"/>
                <w:sz w:val="16"/>
              </w:rPr>
              <w:t>Proizvod / usluga</w:t>
            </w:r>
          </w:p>
        </w:tc>
        <w:tc>
          <w:tcPr>
            <w:tcW w:type="dxa" w:w="2381"/>
            <w:shd w:fill="234D3C"/>
            <w:tcMar>
              <w:top w:w="100" w:type="dxa"/>
              <w:start w:w="85" w:type="dxa"/>
              <w:bottom w:w="100" w:type="dxa"/>
              <w:end w:w="85" w:type="dxa"/>
            </w:tcMar>
            <w:vAlign w:val="center"/>
          </w:tcPr>
          <w:p>
            <w:r>
              <w:rPr>
                <w:b/>
                <w:color w:val="FFFFFF"/>
                <w:sz w:val="16"/>
              </w:rPr>
              <w:t>Obim licence</w:t>
            </w:r>
          </w:p>
        </w:tc>
        <w:tc>
          <w:tcPr>
            <w:tcW w:type="dxa" w:w="1701"/>
            <w:shd w:fill="234D3C"/>
            <w:tcMar>
              <w:top w:w="100" w:type="dxa"/>
              <w:start w:w="85" w:type="dxa"/>
              <w:bottom w:w="100" w:type="dxa"/>
              <w:end w:w="85" w:type="dxa"/>
            </w:tcMar>
            <w:vAlign w:val="center"/>
          </w:tcPr>
          <w:p>
            <w:r>
              <w:rPr>
                <w:b/>
                <w:color w:val="FFFFFF"/>
                <w:sz w:val="16"/>
              </w:rPr>
              <w:t>Bruto prodajna cena</w:t>
            </w:r>
          </w:p>
        </w:tc>
        <w:tc>
          <w:tcPr>
            <w:tcW w:type="dxa" w:w="1304"/>
            <w:shd w:fill="234D3C"/>
            <w:tcMar>
              <w:top w:w="100" w:type="dxa"/>
              <w:start w:w="85" w:type="dxa"/>
              <w:bottom w:w="100" w:type="dxa"/>
              <w:end w:w="85" w:type="dxa"/>
            </w:tcMar>
            <w:vAlign w:val="center"/>
          </w:tcPr>
          <w:p>
            <w:r>
              <w:rPr>
                <w:b/>
                <w:color w:val="FFFFFF"/>
                <w:sz w:val="16"/>
              </w:rPr>
              <w:t>Provizija</w:t>
            </w:r>
          </w:p>
        </w:tc>
      </w:tr>
      <w:tr>
        <w:trPr>
          <w:cantSplit w:val="true"/>
        </w:trPr>
        <w:tc>
          <w:tcPr>
            <w:tcW w:type="dxa" w:w="510"/>
            <w:tcMar>
              <w:top w:w="78" w:type="dxa"/>
              <w:start w:w="85" w:type="dxa"/>
              <w:bottom w:w="78" w:type="dxa"/>
              <w:end w:w="85" w:type="dxa"/>
            </w:tcMar>
            <w:vAlign w:val="center"/>
          </w:tcPr>
          <w:p>
            <w:pPr>
              <w:jc w:val="center"/>
            </w:pPr>
            <w:r>
              <w:rPr>
                <w:sz w:val="15"/>
              </w:rPr>
              <w:t>1</w:t>
            </w:r>
          </w:p>
        </w:tc>
        <w:tc>
          <w:tcPr>
            <w:tcW w:type="dxa" w:w="3515"/>
            <w:tcMar>
              <w:top w:w="78" w:type="dxa"/>
              <w:start w:w="85" w:type="dxa"/>
              <w:bottom w:w="78" w:type="dxa"/>
              <w:end w:w="85" w:type="dxa"/>
            </w:tcMar>
            <w:vAlign w:val="center"/>
          </w:tcPr>
          <w:p>
            <w:r>
              <w:rPr>
                <w:sz w:val="15"/>
              </w:rPr>
              <w:t>Elektronski priručnik „Knjiga kontiranja“</w:t>
            </w:r>
          </w:p>
        </w:tc>
        <w:tc>
          <w:tcPr>
            <w:tcW w:type="dxa" w:w="2381"/>
            <w:tcMar>
              <w:top w:w="78" w:type="dxa"/>
              <w:start w:w="85" w:type="dxa"/>
              <w:bottom w:w="78" w:type="dxa"/>
              <w:end w:w="85" w:type="dxa"/>
            </w:tcMar>
            <w:vAlign w:val="center"/>
          </w:tcPr>
          <w:p>
            <w:r>
              <w:rPr>
                <w:sz w:val="15"/>
              </w:rPr>
              <w:t>1 računar</w:t>
            </w:r>
          </w:p>
        </w:tc>
        <w:tc>
          <w:tcPr>
            <w:tcW w:type="dxa" w:w="1701"/>
            <w:tcMar>
              <w:top w:w="78" w:type="dxa"/>
              <w:start w:w="85" w:type="dxa"/>
              <w:bottom w:w="78" w:type="dxa"/>
              <w:end w:w="85" w:type="dxa"/>
            </w:tcMar>
            <w:vAlign w:val="center"/>
          </w:tcPr>
          <w:p>
            <w:pPr>
              <w:jc w:val="center"/>
            </w:pPr>
            <w:r>
              <w:rPr>
                <w:sz w:val="15"/>
              </w:rPr>
              <w:t>3.000,00 RSD</w:t>
            </w:r>
          </w:p>
        </w:tc>
        <w:tc>
          <w:tcPr>
            <w:tcW w:type="dxa" w:w="1304"/>
            <w:tcMar>
              <w:top w:w="78" w:type="dxa"/>
              <w:start w:w="85" w:type="dxa"/>
              <w:bottom w:w="78" w:type="dxa"/>
              <w:end w:w="85" w:type="dxa"/>
            </w:tcMar>
            <w:vAlign w:val="center"/>
          </w:tcPr>
          <w:p>
            <w:pPr>
              <w:jc w:val="center"/>
            </w:pPr>
            <w:r>
              <w:rPr>
                <w:b/>
                <w:color w:val="234D3C"/>
                <w:sz w:val="15"/>
              </w:rPr>
              <w:t>25,00 %</w:t>
            </w:r>
            <w:r>
              <w:rPr>
                <w:sz w:val="14"/>
              </w:rPr>
              <w:br/>
              <w:t>________ %</w:t>
            </w:r>
          </w:p>
        </w:tc>
      </w:tr>
      <w:tr>
        <w:trPr>
          <w:cantSplit w:val="true"/>
        </w:trPr>
        <w:tc>
          <w:tcPr>
            <w:tcW w:type="dxa" w:w="510"/>
            <w:tcMar>
              <w:top w:w="78" w:type="dxa"/>
              <w:start w:w="85" w:type="dxa"/>
              <w:bottom w:w="78" w:type="dxa"/>
              <w:end w:w="85" w:type="dxa"/>
            </w:tcMar>
            <w:vAlign w:val="center"/>
            <w:shd w:fill="F5F1E8"/>
          </w:tcPr>
          <w:p>
            <w:pPr>
              <w:jc w:val="center"/>
            </w:pPr>
            <w:r>
              <w:rPr>
                <w:sz w:val="15"/>
              </w:rPr>
              <w:t>2</w:t>
            </w:r>
          </w:p>
        </w:tc>
        <w:tc>
          <w:tcPr>
            <w:tcW w:type="dxa" w:w="3515"/>
            <w:tcMar>
              <w:top w:w="78" w:type="dxa"/>
              <w:start w:w="85" w:type="dxa"/>
              <w:bottom w:w="78" w:type="dxa"/>
              <w:end w:w="85" w:type="dxa"/>
            </w:tcMar>
            <w:vAlign w:val="center"/>
            <w:shd w:fill="F5F1E8"/>
          </w:tcPr>
          <w:p>
            <w:r>
              <w:rPr>
                <w:sz w:val="15"/>
              </w:rPr>
              <w:t>Program „Knjiga kontiranja“ — izdanje za knjigovodstvene agencije</w:t>
            </w:r>
          </w:p>
        </w:tc>
        <w:tc>
          <w:tcPr>
            <w:tcW w:type="dxa" w:w="2381"/>
            <w:tcMar>
              <w:top w:w="78" w:type="dxa"/>
              <w:start w:w="85" w:type="dxa"/>
              <w:bottom w:w="78" w:type="dxa"/>
              <w:end w:w="85" w:type="dxa"/>
            </w:tcMar>
            <w:vAlign w:val="center"/>
            <w:shd w:fill="F5F1E8"/>
          </w:tcPr>
          <w:p>
            <w:r>
              <w:rPr>
                <w:sz w:val="15"/>
              </w:rPr>
              <w:t>do 5 licenciranih radnih mesta</w:t>
            </w:r>
          </w:p>
        </w:tc>
        <w:tc>
          <w:tcPr>
            <w:tcW w:type="dxa" w:w="1701"/>
            <w:tcMar>
              <w:top w:w="78" w:type="dxa"/>
              <w:start w:w="85" w:type="dxa"/>
              <w:bottom w:w="78" w:type="dxa"/>
              <w:end w:w="85" w:type="dxa"/>
            </w:tcMar>
            <w:vAlign w:val="center"/>
            <w:shd w:fill="F5F1E8"/>
          </w:tcPr>
          <w:p>
            <w:pPr>
              <w:jc w:val="center"/>
            </w:pPr>
            <w:r>
              <w:rPr>
                <w:sz w:val="15"/>
              </w:rPr>
              <w:t>39.990,00 RSD</w:t>
            </w:r>
          </w:p>
        </w:tc>
        <w:tc>
          <w:tcPr>
            <w:tcW w:type="dxa" w:w="1304"/>
            <w:tcMar>
              <w:top w:w="78" w:type="dxa"/>
              <w:start w:w="85" w:type="dxa"/>
              <w:bottom w:w="78" w:type="dxa"/>
              <w:end w:w="85" w:type="dxa"/>
            </w:tcMar>
            <w:vAlign w:val="center"/>
            <w:shd w:fill="F5F1E8"/>
          </w:tcPr>
          <w:p>
            <w:pPr>
              <w:jc w:val="center"/>
            </w:pPr>
            <w:r>
              <w:rPr>
                <w:b/>
                <w:color w:val="234D3C"/>
                <w:sz w:val="15"/>
              </w:rPr>
              <w:t>25,00 %</w:t>
            </w:r>
            <w:r>
              <w:rPr>
                <w:sz w:val="14"/>
              </w:rPr>
              <w:br/>
              <w:t>________ %</w:t>
            </w:r>
          </w:p>
        </w:tc>
      </w:tr>
      <w:tr>
        <w:trPr>
          <w:cantSplit w:val="true"/>
        </w:trPr>
        <w:tc>
          <w:tcPr>
            <w:tcW w:type="dxa" w:w="510"/>
            <w:tcMar>
              <w:top w:w="78" w:type="dxa"/>
              <w:start w:w="85" w:type="dxa"/>
              <w:bottom w:w="78" w:type="dxa"/>
              <w:end w:w="85" w:type="dxa"/>
            </w:tcMar>
            <w:vAlign w:val="center"/>
          </w:tcPr>
          <w:p>
            <w:pPr>
              <w:jc w:val="center"/>
            </w:pPr>
            <w:r>
              <w:rPr>
                <w:sz w:val="15"/>
              </w:rPr>
              <w:t>3</w:t>
            </w:r>
          </w:p>
        </w:tc>
        <w:tc>
          <w:tcPr>
            <w:tcW w:type="dxa" w:w="3515"/>
            <w:tcMar>
              <w:top w:w="78" w:type="dxa"/>
              <w:start w:w="85" w:type="dxa"/>
              <w:bottom w:w="78" w:type="dxa"/>
              <w:end w:w="85" w:type="dxa"/>
            </w:tcMar>
            <w:vAlign w:val="center"/>
          </w:tcPr>
          <w:p>
            <w:r>
              <w:rPr>
                <w:sz w:val="15"/>
              </w:rPr>
              <w:t>Calculus Cloud Konektor</w:t>
            </w:r>
          </w:p>
        </w:tc>
        <w:tc>
          <w:tcPr>
            <w:tcW w:type="dxa" w:w="2381"/>
            <w:tcMar>
              <w:top w:w="78" w:type="dxa"/>
              <w:start w:w="85" w:type="dxa"/>
              <w:bottom w:w="78" w:type="dxa"/>
              <w:end w:w="85" w:type="dxa"/>
            </w:tcMar>
            <w:vAlign w:val="center"/>
          </w:tcPr>
          <w:p>
            <w:r>
              <w:rPr>
                <w:sz w:val="15"/>
              </w:rPr>
              <w:t>neograničen broj radnih mesta istog poslovnog korisnika</w:t>
            </w:r>
          </w:p>
        </w:tc>
        <w:tc>
          <w:tcPr>
            <w:tcW w:type="dxa" w:w="1701"/>
            <w:tcMar>
              <w:top w:w="78" w:type="dxa"/>
              <w:start w:w="85" w:type="dxa"/>
              <w:bottom w:w="78" w:type="dxa"/>
              <w:end w:w="85" w:type="dxa"/>
            </w:tcMar>
            <w:vAlign w:val="center"/>
          </w:tcPr>
          <w:p>
            <w:pPr>
              <w:jc w:val="center"/>
            </w:pPr>
            <w:r>
              <w:rPr>
                <w:sz w:val="15"/>
              </w:rPr>
              <w:t>9.990,00 RSD</w:t>
            </w:r>
          </w:p>
        </w:tc>
        <w:tc>
          <w:tcPr>
            <w:tcW w:type="dxa" w:w="1304"/>
            <w:tcMar>
              <w:top w:w="78" w:type="dxa"/>
              <w:start w:w="85" w:type="dxa"/>
              <w:bottom w:w="78" w:type="dxa"/>
              <w:end w:w="85" w:type="dxa"/>
            </w:tcMar>
            <w:vAlign w:val="center"/>
          </w:tcPr>
          <w:p>
            <w:pPr>
              <w:jc w:val="center"/>
            </w:pPr>
            <w:r>
              <w:rPr>
                <w:b/>
                <w:color w:val="234D3C"/>
                <w:sz w:val="15"/>
              </w:rPr>
              <w:t>25,00 %</w:t>
            </w:r>
            <w:r>
              <w:rPr>
                <w:sz w:val="14"/>
              </w:rPr>
              <w:br/>
              <w:t>________ %</w:t>
            </w:r>
          </w:p>
        </w:tc>
      </w:tr>
      <w:tr>
        <w:trPr>
          <w:cantSplit w:val="true"/>
        </w:trPr>
        <w:tc>
          <w:tcPr>
            <w:tcW w:type="dxa" w:w="510"/>
            <w:tcMar>
              <w:top w:w="78" w:type="dxa"/>
              <w:start w:w="85" w:type="dxa"/>
              <w:bottom w:w="78" w:type="dxa"/>
              <w:end w:w="85" w:type="dxa"/>
            </w:tcMar>
            <w:vAlign w:val="center"/>
            <w:shd w:fill="F5F1E8"/>
          </w:tcPr>
          <w:p>
            <w:pPr>
              <w:jc w:val="center"/>
            </w:pPr>
            <w:r>
              <w:rPr>
                <w:sz w:val="15"/>
              </w:rPr>
              <w:t>4</w:t>
            </w:r>
          </w:p>
        </w:tc>
        <w:tc>
          <w:tcPr>
            <w:tcW w:type="dxa" w:w="3515"/>
            <w:tcMar>
              <w:top w:w="78" w:type="dxa"/>
              <w:start w:w="85" w:type="dxa"/>
              <w:bottom w:w="78" w:type="dxa"/>
              <w:end w:w="85" w:type="dxa"/>
            </w:tcMar>
            <w:vAlign w:val="center"/>
            <w:shd w:fill="F5F1E8"/>
          </w:tcPr>
          <w:p>
            <w:r>
              <w:rPr>
                <w:sz w:val="15"/>
              </w:rPr>
              <w:t>Calculus Poslovni Radar</w:t>
            </w:r>
          </w:p>
        </w:tc>
        <w:tc>
          <w:tcPr>
            <w:tcW w:type="dxa" w:w="2381"/>
            <w:tcMar>
              <w:top w:w="78" w:type="dxa"/>
              <w:start w:w="85" w:type="dxa"/>
              <w:bottom w:w="78" w:type="dxa"/>
              <w:end w:w="85" w:type="dxa"/>
            </w:tcMar>
            <w:vAlign w:val="center"/>
            <w:shd w:fill="F5F1E8"/>
          </w:tcPr>
          <w:p>
            <w:r>
              <w:rPr>
                <w:sz w:val="15"/>
              </w:rPr>
              <w:t>1 firma / 1 licencirano radno mesto</w:t>
            </w:r>
          </w:p>
        </w:tc>
        <w:tc>
          <w:tcPr>
            <w:tcW w:type="dxa" w:w="1701"/>
            <w:tcMar>
              <w:top w:w="78" w:type="dxa"/>
              <w:start w:w="85" w:type="dxa"/>
              <w:bottom w:w="78" w:type="dxa"/>
              <w:end w:w="85" w:type="dxa"/>
            </w:tcMar>
            <w:vAlign w:val="center"/>
            <w:shd w:fill="F5F1E8"/>
          </w:tcPr>
          <w:p>
            <w:pPr>
              <w:jc w:val="center"/>
            </w:pPr>
            <w:r>
              <w:rPr>
                <w:sz w:val="15"/>
              </w:rPr>
              <w:t>14.990,00 RSD</w:t>
            </w:r>
          </w:p>
        </w:tc>
        <w:tc>
          <w:tcPr>
            <w:tcW w:type="dxa" w:w="1304"/>
            <w:tcMar>
              <w:top w:w="78" w:type="dxa"/>
              <w:start w:w="85" w:type="dxa"/>
              <w:bottom w:w="78" w:type="dxa"/>
              <w:end w:w="85" w:type="dxa"/>
            </w:tcMar>
            <w:vAlign w:val="center"/>
            <w:shd w:fill="F5F1E8"/>
          </w:tcPr>
          <w:p>
            <w:pPr>
              <w:jc w:val="center"/>
            </w:pPr>
            <w:r>
              <w:rPr>
                <w:b/>
                <w:color w:val="234D3C"/>
                <w:sz w:val="15"/>
              </w:rPr>
              <w:t>25,00 %</w:t>
            </w:r>
            <w:r>
              <w:rPr>
                <w:sz w:val="14"/>
              </w:rPr>
              <w:br/>
              <w:t>________ %</w:t>
            </w:r>
          </w:p>
        </w:tc>
      </w:tr>
      <w:tr>
        <w:trPr>
          <w:cantSplit w:val="true"/>
        </w:trPr>
        <w:tc>
          <w:tcPr>
            <w:tcW w:type="dxa" w:w="510"/>
            <w:tcMar>
              <w:top w:w="78" w:type="dxa"/>
              <w:start w:w="85" w:type="dxa"/>
              <w:bottom w:w="78" w:type="dxa"/>
              <w:end w:w="85" w:type="dxa"/>
            </w:tcMar>
            <w:vAlign w:val="center"/>
          </w:tcPr>
          <w:p>
            <w:pPr>
              <w:jc w:val="center"/>
            </w:pPr>
            <w:r>
              <w:rPr>
                <w:sz w:val="15"/>
              </w:rPr>
              <w:t>5</w:t>
            </w:r>
          </w:p>
        </w:tc>
        <w:tc>
          <w:tcPr>
            <w:tcW w:type="dxa" w:w="3515"/>
            <w:tcMar>
              <w:top w:w="78" w:type="dxa"/>
              <w:start w:w="85" w:type="dxa"/>
              <w:bottom w:w="78" w:type="dxa"/>
              <w:end w:w="85" w:type="dxa"/>
            </w:tcMar>
            <w:vAlign w:val="center"/>
          </w:tcPr>
          <w:p>
            <w:r>
              <w:rPr>
                <w:sz w:val="15"/>
              </w:rPr>
              <w:t>Calculus Poslovni Radar</w:t>
            </w:r>
          </w:p>
        </w:tc>
        <w:tc>
          <w:tcPr>
            <w:tcW w:type="dxa" w:w="2381"/>
            <w:tcMar>
              <w:top w:w="78" w:type="dxa"/>
              <w:start w:w="85" w:type="dxa"/>
              <w:bottom w:w="78" w:type="dxa"/>
              <w:end w:w="85" w:type="dxa"/>
            </w:tcMar>
            <w:vAlign w:val="center"/>
          </w:tcPr>
          <w:p>
            <w:r>
              <w:rPr>
                <w:sz w:val="15"/>
              </w:rPr>
              <w:t>1 firma / do 5 licenciranih radnih mesta</w:t>
            </w:r>
          </w:p>
        </w:tc>
        <w:tc>
          <w:tcPr>
            <w:tcW w:type="dxa" w:w="1701"/>
            <w:tcMar>
              <w:top w:w="78" w:type="dxa"/>
              <w:start w:w="85" w:type="dxa"/>
              <w:bottom w:w="78" w:type="dxa"/>
              <w:end w:w="85" w:type="dxa"/>
            </w:tcMar>
            <w:vAlign w:val="center"/>
          </w:tcPr>
          <w:p>
            <w:pPr>
              <w:jc w:val="center"/>
            </w:pPr>
            <w:r>
              <w:rPr>
                <w:sz w:val="15"/>
              </w:rPr>
              <w:t>59.990,00 RSD</w:t>
            </w:r>
          </w:p>
        </w:tc>
        <w:tc>
          <w:tcPr>
            <w:tcW w:type="dxa" w:w="1304"/>
            <w:tcMar>
              <w:top w:w="78" w:type="dxa"/>
              <w:start w:w="85" w:type="dxa"/>
              <w:bottom w:w="78" w:type="dxa"/>
              <w:end w:w="85" w:type="dxa"/>
            </w:tcMar>
            <w:vAlign w:val="center"/>
          </w:tcPr>
          <w:p>
            <w:pPr>
              <w:jc w:val="center"/>
            </w:pPr>
            <w:r>
              <w:rPr>
                <w:b/>
                <w:color w:val="234D3C"/>
                <w:sz w:val="15"/>
              </w:rPr>
              <w:t>25,00 %</w:t>
            </w:r>
            <w:r>
              <w:rPr>
                <w:sz w:val="14"/>
              </w:rPr>
              <w:br/>
              <w:t>________ %</w:t>
            </w:r>
          </w:p>
        </w:tc>
      </w:tr>
      <w:tr>
        <w:trPr>
          <w:cantSplit w:val="true"/>
        </w:trPr>
        <w:tc>
          <w:tcPr>
            <w:tcW w:type="dxa" w:w="510"/>
            <w:tcMar>
              <w:top w:w="78" w:type="dxa"/>
              <w:start w:w="85" w:type="dxa"/>
              <w:bottom w:w="78" w:type="dxa"/>
              <w:end w:w="85" w:type="dxa"/>
            </w:tcMar>
            <w:vAlign w:val="center"/>
            <w:shd w:fill="F5F1E8"/>
          </w:tcPr>
          <w:p>
            <w:pPr>
              <w:jc w:val="center"/>
            </w:pPr>
            <w:r>
              <w:rPr>
                <w:sz w:val="15"/>
              </w:rPr>
              <w:t>6</w:t>
            </w:r>
          </w:p>
        </w:tc>
        <w:tc>
          <w:tcPr>
            <w:tcW w:type="dxa" w:w="3515"/>
            <w:tcMar>
              <w:top w:w="78" w:type="dxa"/>
              <w:start w:w="85" w:type="dxa"/>
              <w:bottom w:w="78" w:type="dxa"/>
              <w:end w:w="85" w:type="dxa"/>
            </w:tcMar>
            <w:vAlign w:val="center"/>
            <w:shd w:fill="F5F1E8"/>
          </w:tcPr>
          <w:p>
            <w:r>
              <w:rPr>
                <w:sz w:val="15"/>
              </w:rPr>
              <w:t>SAGITARION Calculus migracioni alati</w:t>
            </w:r>
          </w:p>
        </w:tc>
        <w:tc>
          <w:tcPr>
            <w:tcW w:type="dxa" w:w="2381"/>
            <w:tcMar>
              <w:top w:w="78" w:type="dxa"/>
              <w:start w:w="85" w:type="dxa"/>
              <w:bottom w:w="78" w:type="dxa"/>
              <w:end w:w="85" w:type="dxa"/>
            </w:tcMar>
            <w:vAlign w:val="center"/>
            <w:shd w:fill="F5F1E8"/>
          </w:tcPr>
          <w:p>
            <w:r>
              <w:rPr>
                <w:sz w:val="15"/>
              </w:rPr>
              <w:t>1 nosilac licence / 1 licencirano radno mesto</w:t>
            </w:r>
          </w:p>
        </w:tc>
        <w:tc>
          <w:tcPr>
            <w:tcW w:type="dxa" w:w="1701"/>
            <w:tcMar>
              <w:top w:w="78" w:type="dxa"/>
              <w:start w:w="85" w:type="dxa"/>
              <w:bottom w:w="78" w:type="dxa"/>
              <w:end w:w="85" w:type="dxa"/>
            </w:tcMar>
            <w:vAlign w:val="center"/>
            <w:shd w:fill="F5F1E8"/>
          </w:tcPr>
          <w:p>
            <w:pPr>
              <w:jc w:val="center"/>
            </w:pPr>
            <w:r>
              <w:rPr>
                <w:sz w:val="15"/>
              </w:rPr>
              <w:t>14.990,00 RSD</w:t>
            </w:r>
          </w:p>
        </w:tc>
        <w:tc>
          <w:tcPr>
            <w:tcW w:type="dxa" w:w="1304"/>
            <w:tcMar>
              <w:top w:w="78" w:type="dxa"/>
              <w:start w:w="85" w:type="dxa"/>
              <w:bottom w:w="78" w:type="dxa"/>
              <w:end w:w="85" w:type="dxa"/>
            </w:tcMar>
            <w:vAlign w:val="center"/>
            <w:shd w:fill="F5F1E8"/>
          </w:tcPr>
          <w:p>
            <w:pPr>
              <w:jc w:val="center"/>
            </w:pPr>
            <w:r>
              <w:rPr>
                <w:b/>
                <w:color w:val="234D3C"/>
                <w:sz w:val="15"/>
              </w:rPr>
              <w:t>25,00 %</w:t>
            </w:r>
            <w:r>
              <w:rPr>
                <w:sz w:val="14"/>
              </w:rPr>
              <w:br/>
              <w:t>________ %</w:t>
            </w:r>
          </w:p>
        </w:tc>
      </w:tr>
      <w:tr>
        <w:trPr>
          <w:cantSplit w:val="true"/>
        </w:trPr>
        <w:tc>
          <w:tcPr>
            <w:tcW w:type="dxa" w:w="510"/>
            <w:tcMar>
              <w:top w:w="78" w:type="dxa"/>
              <w:start w:w="85" w:type="dxa"/>
              <w:bottom w:w="78" w:type="dxa"/>
              <w:end w:w="85" w:type="dxa"/>
            </w:tcMar>
            <w:vAlign w:val="center"/>
          </w:tcPr>
          <w:p>
            <w:pPr>
              <w:jc w:val="center"/>
            </w:pPr>
            <w:r>
              <w:rPr>
                <w:sz w:val="15"/>
              </w:rPr>
              <w:t>7</w:t>
            </w:r>
          </w:p>
        </w:tc>
        <w:tc>
          <w:tcPr>
            <w:tcW w:type="dxa" w:w="3515"/>
            <w:tcMar>
              <w:top w:w="78" w:type="dxa"/>
              <w:start w:w="85" w:type="dxa"/>
              <w:bottom w:w="78" w:type="dxa"/>
              <w:end w:w="85" w:type="dxa"/>
            </w:tcMar>
            <w:vAlign w:val="center"/>
          </w:tcPr>
          <w:p>
            <w:r>
              <w:rPr>
                <w:sz w:val="15"/>
              </w:rPr>
              <w:t>SAGITARION Calculus migracioni alati</w:t>
            </w:r>
          </w:p>
        </w:tc>
        <w:tc>
          <w:tcPr>
            <w:tcW w:type="dxa" w:w="2381"/>
            <w:tcMar>
              <w:top w:w="78" w:type="dxa"/>
              <w:start w:w="85" w:type="dxa"/>
              <w:bottom w:w="78" w:type="dxa"/>
              <w:end w:w="85" w:type="dxa"/>
            </w:tcMar>
            <w:vAlign w:val="center"/>
          </w:tcPr>
          <w:p>
            <w:r>
              <w:rPr>
                <w:sz w:val="15"/>
              </w:rPr>
              <w:t>1 nosilac licence / do 5 licenciranih radnih mesta</w:t>
            </w:r>
          </w:p>
        </w:tc>
        <w:tc>
          <w:tcPr>
            <w:tcW w:type="dxa" w:w="1701"/>
            <w:tcMar>
              <w:top w:w="78" w:type="dxa"/>
              <w:start w:w="85" w:type="dxa"/>
              <w:bottom w:w="78" w:type="dxa"/>
              <w:end w:w="85" w:type="dxa"/>
            </w:tcMar>
            <w:vAlign w:val="center"/>
          </w:tcPr>
          <w:p>
            <w:pPr>
              <w:jc w:val="center"/>
            </w:pPr>
            <w:r>
              <w:rPr>
                <w:sz w:val="15"/>
              </w:rPr>
              <w:t>59.990,00 RSD</w:t>
            </w:r>
          </w:p>
        </w:tc>
        <w:tc>
          <w:tcPr>
            <w:tcW w:type="dxa" w:w="1304"/>
            <w:tcMar>
              <w:top w:w="78" w:type="dxa"/>
              <w:start w:w="85" w:type="dxa"/>
              <w:bottom w:w="78" w:type="dxa"/>
              <w:end w:w="85" w:type="dxa"/>
            </w:tcMar>
            <w:vAlign w:val="center"/>
          </w:tcPr>
          <w:p>
            <w:pPr>
              <w:jc w:val="center"/>
            </w:pPr>
            <w:r>
              <w:rPr>
                <w:b/>
                <w:color w:val="234D3C"/>
                <w:sz w:val="15"/>
              </w:rPr>
              <w:t>25,00 %</w:t>
            </w:r>
            <w:r>
              <w:rPr>
                <w:sz w:val="14"/>
              </w:rPr>
              <w:br/>
              <w:t>________ %</w:t>
            </w:r>
          </w:p>
        </w:tc>
      </w:tr>
    </w:tbl>
    <w:p>
      <w:pPr>
        <w:keepNext/>
        <w:spacing w:before="100"/>
      </w:pPr>
      <w:r>
        <w:rPr>
          <w:i/>
          <w:color w:val="647069"/>
          <w:sz w:val="16"/>
        </w:rPr>
        <w:t>Polazna stopa je 25,00% za svaki proizvod. Ako strane u prazno polje upišu drugačiji procenat i parafiraju izmenu, primenjuje se upisani procenat. Promena važi samo za buduće narudžbine od datuma evidentiranja aneksa.</w:t>
      </w:r>
    </w:p>
    <w:p>
      <w:r>
        <w:t>Bruto prodajna cena u tabeli predstavlja konačnu cenu proizvoda koju plaća krajnji kupac, uključujući PDV kada je obračunat, važeću na dan zaključenja ovog ugovora. SAGITARION može menjati javne cene i ponudu, uz prethodno obaveštenje Partneru. Izmena cene ne menja ugovoreni procenat, osim ako strane potpišu aneks.</w:t>
      </w:r>
    </w:p>
    <w:p>
      <w:pPr>
        <w:pStyle w:val="Heading1"/>
      </w:pPr>
      <w:r>
        <w:t>Član 3 — Uslovi za aktivaciju Partnera</w:t>
      </w:r>
    </w:p>
    <w:p>
      <w:pPr>
        <w:keepLines w:val="0"/>
      </w:pPr>
      <w:r>
        <w:t>Partner može biti isključivo registrovano pravno lice ili preduzetnik. Puno poslovno ime, PIB i/ili matični broj, sedište, ovlašćeno ili kontakt lice i poslovni kontakt obavezni su podaci.</w:t>
      </w:r>
    </w:p>
    <w:p>
      <w:pPr>
        <w:keepLines w:val="0"/>
      </w:pPr>
      <w:r>
        <w:t>Pisani ugovor nije uslov za aktivaciju Partnera, pripisivanje prodaje niti obračun i isplatu provizije. Priprema se samo kada ga Partner ili SAGITARION izričito zahteva.</w:t>
      </w:r>
    </w:p>
    <w:p>
      <w:pPr>
        <w:keepLines w:val="0"/>
      </w:pPr>
      <w:r>
        <w:t>Partner postaje aktivan posle dodele jedinstvene partnerske šifre i evidentiranja podataka, osnova saradnje, ugovorene stope i perioda važenja. Osnov saradnje može biti evidentirano odobrenje rabata ili provizije, status sertifikovanog Calculus zastupnika ili distributera, odnosno ovaj pisani ugovor kada je izričito zahtevan. SAGITARION može privremeno obustaviti javni prikaz Partnera kada podaci nisu ažurni, period važenja je istekao ili postoji opravdana sumnja na povredu dogovorenih pravila saradnje.</w:t>
      </w:r>
    </w:p>
    <w:p>
      <w:pPr>
        <w:pStyle w:val="Heading1"/>
      </w:pPr>
      <w:r>
        <w:t>Član 4 — Pripisivanje prodaje</w:t>
      </w:r>
    </w:p>
    <w:p>
      <w:pPr>
        <w:keepLines w:val="0"/>
      </w:pPr>
      <w:r>
        <w:t>Prodaja se pripisuje Partneru kada poslovni kupac u prvom obrascu konkretne narudžbine izabere tog Partnera iz kontrolisane liste aktivnih partnera. Izbor nije obavezan; narudžbina bez izabranog Partnera vodi se kao direktna prodaja.</w:t>
      </w:r>
    </w:p>
    <w:p>
      <w:pPr>
        <w:keepLines w:val="0"/>
      </w:pPr>
      <w:r>
        <w:t>Sistem uz narudžbinu čuva neizmenjiv zapis partnerske šifre, javnog i poslovnog naziva, broja ugovora ako je zaključen, proizvoda i procenta provizije koji je važio u trenutku narudžbine. Kasnija promena stope ne utiče na već evidentiranu narudžbinu.</w:t>
      </w:r>
    </w:p>
    <w:p>
      <w:pPr>
        <w:keepLines w:val="0"/>
      </w:pPr>
      <w:r>
        <w:t>Retroaktivno pripisivanje, prebacivanje između partnera i višestruka provizija za istu prodaju nisu dopušteni, osim kada SAGITARION pisano potvrdi dokazivu tehničku grešku pre izdavanja konačnog obračuna.</w:t>
      </w:r>
    </w:p>
    <w:p>
      <w:pPr>
        <w:pStyle w:val="Heading1"/>
      </w:pPr>
      <w:r>
        <w:t>Član 5 — Osnovica i nastanak prava na proviziju</w:t>
      </w:r>
    </w:p>
    <w:p>
      <w:pPr>
        <w:keepLines w:val="0"/>
      </w:pPr>
      <w:r>
        <w:t>Provizija se obračunava primenom ugovorene stope na stvarno naplaćenu bruto prodajnu cenu konkretnog proizvoda, uključujući PDV kada je obračunat. Odobreni popusti, storna, povraćaji, knjižna odobrenja i iznosi koji kupcu nisu naplaćeni ne ulaze u osnovicu.</w:t>
      </w:r>
    </w:p>
    <w:p>
      <w:pPr>
        <w:keepLines w:val="0"/>
      </w:pPr>
      <w:r>
        <w:t>Obračunati iznos provizije predstavlja konačan bruto iznos računa Partnera. Ako je Partner u sistemu PDV-a, PDV je sadržan u tom iznosu i ne dodaje se preko ugovorenog procenta.</w:t>
      </w:r>
    </w:p>
    <w:p>
      <w:pPr>
        <w:keepLines w:val="0"/>
      </w:pPr>
      <w:r>
        <w:t>Pravo na proviziju nastaje tek kada je kupac u celosti platio pripisanu narudžbinu, licenca ili proizvod je isporučen, a ne postoji aktivan zahtev za otkaz, povraćaj ili spor oko naplate. Ako se naknadno izvrši povraćaj ili storniranje, odgovarajući iznos umanjuje prvi naredni obračun Partnera.</w:t>
      </w:r>
    </w:p>
    <w:p>
      <w:pPr>
        <w:keepLines w:val="0"/>
      </w:pPr>
      <w:r>
        <w:t>Obnove, dodatna radna mesta, konsultantske usluge i drugi proizvodi daju pravo na proviziju samo ako su izričito navedeni u tabeli ovog ugovora ili naknadnom aneksu.</w:t>
      </w:r>
    </w:p>
    <w:p>
      <w:pPr>
        <w:pStyle w:val="Heading1"/>
      </w:pPr>
      <w:r>
        <w:t>Član 6 — Obračun, račun i isplata</w:t>
      </w:r>
    </w:p>
    <w:p>
      <w:pPr>
        <w:keepLines w:val="0"/>
      </w:pPr>
      <w:r>
        <w:t>SAGITARION sastavlja mesečni obračun dospelih provizija i dostavlja ga Partneru najkasnije do desetog dana narednog meseca. Partner može u roku od pet radnih dana uložiti obrazložen prigovor; u suprotnom se obračun smatra prihvaćenim.</w:t>
      </w:r>
    </w:p>
    <w:p>
      <w:pPr>
        <w:keepLines w:val="0"/>
      </w:pPr>
      <w:r>
        <w:t>Partner na osnovu prihvaćenog obračuna izdaje uredan račun, odnosno elektronsku fakturu kada je to propisano. SAGITARION plaća nesporni iznos u roku od 15 dana od prijema ispravne poslovne isprave. Svaka strana samostalno snosi svoje poreske i druge javne obaveze.</w:t>
      </w:r>
    </w:p>
    <w:p>
      <w:pPr>
        <w:pStyle w:val="Heading1"/>
      </w:pPr>
      <w:r>
        <w:t>Član 7 — Obaveze Partnera</w:t>
      </w:r>
    </w:p>
    <w:p>
      <w:pPr>
        <w:keepLines w:val="0"/>
      </w:pPr>
      <w:r>
        <w:t>Partner je dužan da proizvode predstavlja tačno, profesionalno i u skladu sa važećim opisima, cenama, licencama i uputstvima SAGITARION-a. Nije dozvoljeno obećavanje rezultata, rokova, popusta, funkcija ili odgovornosti koje SAGITARION nije pisano potvrdio.</w:t>
      </w:r>
    </w:p>
    <w:p>
      <w:pPr>
        <w:keepLines w:val="0"/>
      </w:pPr>
      <w:r>
        <w:t>Partner ne sme da šalje neželjene komercijalne poruke, koristi obmanjujuće oglašavanje, lažno se predstavlja kao zaposleni ili zastupnik SAGITARION-a, registruje zbunjujuće domene ili oglase niti narušava ugled SAGITARION-a, Calculus-a ili drugih nosilaca prava.</w:t>
      </w:r>
    </w:p>
    <w:p>
      <w:pPr>
        <w:keepLines w:val="0"/>
      </w:pPr>
      <w:r>
        <w:t>Partner odmah obaveštava SAGITARION o reklamaciji, bezbednosnom incidentu, sumnji na neovlašćeno korišćenje licence ili netačnom javnom predstavljanju proizvoda.</w:t>
      </w:r>
    </w:p>
    <w:p>
      <w:pPr>
        <w:pStyle w:val="Heading1"/>
      </w:pPr>
      <w:r>
        <w:t>Član 8 — Obaveze SAGITARION-a</w:t>
      </w:r>
    </w:p>
    <w:p>
      <w:pPr>
        <w:keepLines w:val="0"/>
      </w:pPr>
      <w:r>
        <w:t>SAGITARION vodi kontrolisanu evidenciju partnera i pripisanih narudžbina, izdaje ponude i račune kupcima, prima uplate, isporučuje proizvode i licence i pruža podršku u obimu ugovorenom sa kupcem.</w:t>
      </w:r>
    </w:p>
    <w:p>
      <w:pPr>
        <w:keepLines w:val="0"/>
      </w:pPr>
      <w:r>
        <w:t>SAGITARION dostavlja Partneru informacije potrebne za tačno predstavljanje proizvoda i omogućava proveru obračuna bez otkrivanja podataka koji nisu potrebni za utvrđivanje provizije.</w:t>
      </w:r>
    </w:p>
    <w:p>
      <w:pPr>
        <w:pStyle w:val="Heading1"/>
      </w:pPr>
      <w:r>
        <w:t>Član 9 — Intelektualna svojina i oznake</w:t>
      </w:r>
    </w:p>
    <w:p>
      <w:pPr>
        <w:keepLines w:val="0"/>
      </w:pPr>
      <w:r>
        <w:t>Sva prava na programe, dokumentaciju, tekstove, grafička rešenja, licence, robne oznake i druge materijale ostaju njihovim nosiocima. Partner dobija opozivo, neisključivo pravo da tokom važenja ugovora koristi odobrene promotivne materijale isključivo radi ugovorene preporuke.</w:t>
      </w:r>
    </w:p>
    <w:p>
      <w:pPr>
        <w:keepLines w:val="0"/>
      </w:pPr>
      <w:r>
        <w:t>Naziv Calculus i povezana obeležja pripadaju njihovim nosiocima. Partner ne sme ostaviti utisak da su SAGITARION proizvodi proizvodi Calculus d.o.o. Beograd niti da Calculus d.o.o. preuzima odgovornost za njih, osim kada za konkretnu tvrdnju postoji izričita pisana saglasnost.</w:t>
      </w:r>
    </w:p>
    <w:p>
      <w:pPr>
        <w:pStyle w:val="Heading1"/>
      </w:pPr>
      <w:r>
        <w:t>Član 10 — Poverljivost i zaštita podataka</w:t>
      </w:r>
    </w:p>
    <w:p>
      <w:pPr>
        <w:keepLines w:val="0"/>
      </w:pPr>
      <w:r>
        <w:t>Strane čuvaju kao poverljive neobjavljene komercijalne, tehničke, cenovne, licencne i korisničke podatke do kojih dođu tokom saradnje i koriste ih samo za izvršenje ovog ugovora.</w:t>
      </w:r>
    </w:p>
    <w:p>
      <w:pPr>
        <w:keepLines w:val="0"/>
      </w:pPr>
      <w:r>
        <w:t>Partner ne sme tražiti niti primati lozinke kupca, kopije Calculus baza, sadržaj poslovnih dokumenata ili druge podatke koji nisu neophodni za preporuku. Svaka strana obrađuje podatke o kontakt licima u skladu sa važećim propisima Republike Srbije i primenjuje odgovarajuće tehničke i organizacione mere zaštite.</w:t>
      </w:r>
    </w:p>
    <w:p>
      <w:pPr>
        <w:pStyle w:val="Heading1"/>
      </w:pPr>
      <w:r>
        <w:t>Član 11 — Odgovornost</w:t>
      </w:r>
    </w:p>
    <w:p>
      <w:pPr>
        <w:keepLines w:val="0"/>
      </w:pPr>
      <w:r>
        <w:t>Svaka strana odgovara za štetu koju prouzrokuje sopstvenim protivpravnim ili ugovoru suprotnim postupanjem, u granicama prinudnih propisa. Partner posebno odgovara za neovlašćena obećanja, netačne izjave, neželjene poruke, povredu tuđih prava i neovlašćeno raspolaganje podacima do kojih je došao.</w:t>
      </w:r>
    </w:p>
    <w:p>
      <w:pPr>
        <w:keepLines w:val="0"/>
      </w:pPr>
      <w:r>
        <w:t>SAGITARION ne odgovara Partneru za izgubljenu buduću proviziju, prekid ponude pojedinog proizvoda ili odluku kupca da ne zaključi ili ne plati narudžbinu. Nijedna odredba ne isključuje odgovornost koju prinudni propisi ne dopuštaju da bude isključena.</w:t>
      </w:r>
    </w:p>
    <w:p>
      <w:pPr>
        <w:pStyle w:val="Heading1"/>
      </w:pPr>
      <w:r>
        <w:t>Član 12 — Trajanje i prestanak</w:t>
      </w:r>
    </w:p>
    <w:p>
      <w:pPr>
        <w:keepLines w:val="0"/>
      </w:pPr>
      <w:r>
        <w:t>Ugovor se zaključuje na neodređeno vreme, osim ako je u uvodnoj tabeli upisan krajnji datum. Svaka strana može otkazati ugovor pisanim obaveštenjem uz otkazni rok od 30 dana.</w:t>
      </w:r>
    </w:p>
    <w:p>
      <w:pPr>
        <w:keepLines w:val="0"/>
      </w:pPr>
      <w:r>
        <w:t>SAGITARION može raskinuti ugovor bez otkaznog roka u slučaju prevare, zloupotrebe partnerske šifre, povrede poverljivosti, prava intelektualne svojine, zaštite podataka, zabrane neželjenog oglašavanja ili drugog bitnog kršenja koje nije otklonjeno u ostavljenom primerenom roku.</w:t>
      </w:r>
    </w:p>
    <w:p>
      <w:pPr>
        <w:keepLines w:val="0"/>
      </w:pPr>
      <w:r>
        <w:t>Partner zadržava pravo na proviziju za pravilno pripisane i naplaćene narudžbine nastale pre prestanka ugovora, uz primenu pravila o stornu i povraćaju. Po prestanku Partner odmah uklanja tvrdnju o aktivnom partnerstvu i prestaje da koristi promotivne materijale koji nisu javno dostupni.</w:t>
      </w:r>
    </w:p>
    <w:p>
      <w:pPr>
        <w:pStyle w:val="Heading1"/>
      </w:pPr>
      <w:r>
        <w:t>Član 13 — Obaveštenja i izmene</w:t>
      </w:r>
    </w:p>
    <w:p>
      <w:pPr>
        <w:keepLines w:val="0"/>
      </w:pPr>
      <w:r>
        <w:t>Redovna obaveštenja dostavljaju se na poslovne e-adrese navedene u ovom ugovoru. Obaveštenja o raskidu, sporu, promeni ovlašćenog lica ili promeni podataka za plaćanje dostavljaju se i u obliku koji omogućava pouzdanu potvrdu prijema.</w:t>
      </w:r>
    </w:p>
    <w:p>
      <w:pPr>
        <w:keepLines w:val="0"/>
      </w:pPr>
      <w:r>
        <w:t>Izmene ugovorenih stopa, obima proizvoda i drugih bitnih uslova važe samo ako su sačinjene u pisanom aneksu ili drugom elektronskom dokumentu koji su ovlašćena lica obe strane nedvosmisleno prihvatila.</w:t>
      </w:r>
    </w:p>
    <w:p>
      <w:pPr>
        <w:pStyle w:val="Heading1"/>
      </w:pPr>
      <w:r>
        <w:t>Član 14 — Merodavno pravo i sporovi</w:t>
      </w:r>
    </w:p>
    <w:p>
      <w:pPr>
        <w:keepLines w:val="0"/>
      </w:pPr>
      <w:r>
        <w:t>Na ovaj ugovor primenjuje se pravo Republike Srbije. Strane će spor pokušati da reše dogovorom u roku od 30 dana od pisanog obaveštenja o sporu. Ako dogovor nije moguć, nadležan je stvarno nadležni sud prema sedištu SAGITARION-a, osim kada prinudni propis nalaže drugačije.</w:t>
      </w:r>
    </w:p>
    <w:p>
      <w:pPr>
        <w:pStyle w:val="Heading1"/>
      </w:pPr>
      <w:r>
        <w:t>Član 15 — Završne odredbe</w:t>
      </w:r>
    </w:p>
    <w:p>
      <w:pPr>
        <w:keepLines w:val="0"/>
      </w:pPr>
      <w:r>
        <w:t>Ovaj ugovor, zajedno sa tabelom proizvoda i potpisanim aneksima, predstavlja celovit dogovor strana o Partnerskom programu. Ako se pojedina odredba pokaže ništavom ili neprimenljivom, ostale odredbe ostaju na snazi, a sporna odredba zameniće se dopuštenom odredbom najbližom njenoj poslovnoj svrsi.</w:t>
      </w:r>
    </w:p>
    <w:p>
      <w:pPr>
        <w:keepLines w:val="0"/>
      </w:pPr>
      <w:r>
        <w:t>Ugovor je sačinjen u dva istovetna primerka, po jedan za svaku stranu, odnosno može biti potpisan kvalifikovanim elektronskim potpisom ili drugim zakonom dopuštenim oblikom koji pouzdano potvrđuje identitet potpisnika i sadržaj dokumenta.</w:t>
      </w:r>
    </w:p>
    <w:p>
      <w:r>
        <w:br w:type="page"/>
      </w:r>
    </w:p>
    <w:p>
      <w:pPr>
        <w:spacing w:after="60"/>
      </w:pPr>
      <w:r>
        <w:rPr>
          <w:b/>
          <w:color w:val="BD8B39"/>
          <w:sz w:val="16"/>
        </w:rPr>
        <w:t>POTPISIVANJE I KONTROLISANA AKTIVACIJA</w:t>
      </w:r>
    </w:p>
    <w:p>
      <w:pPr>
        <w:pStyle w:val="Heading1"/>
      </w:pPr>
      <w:r>
        <w:t>Potpisi ugovornih strana</w:t>
      </w:r>
    </w:p>
    <w:p>
      <w:r>
        <w:t>Potpisom ovlašćena lica potvrđuju da su pročitala, razumela i prihvatila sve odredbe ugovora, uključujući tabelu provizija po proizvodu.</w:t>
      </w:r>
    </w:p>
    <w:tbl>
      <w:tblPr>
        <w:tblW w:type="auto" w:w="0"/>
        <w:jc w:val="center"/>
        <w:tblLook w:firstColumn="1" w:firstRow="1" w:lastColumn="0" w:lastRow="0" w:noHBand="0" w:noVBand="1" w:val="04A0"/>
      </w:tblPr>
      <w:tblGrid>
        <w:gridCol w:w="4933"/>
        <w:gridCol w:w="4933"/>
      </w:tblGrid>
      <w:tr>
        <w:trPr>
          <w:cantSplit/>
        </w:trPr>
        <w:tc>
          <w:tcPr>
            <w:tcW w:type="dxa" w:w="4933"/>
            <w:shd w:fill="F5F1E8"/>
            <w:tcMar>
              <w:top w:w="180" w:type="dxa"/>
              <w:start w:w="180" w:type="dxa"/>
              <w:bottom w:w="180" w:type="dxa"/>
              <w:end w:w="180" w:type="dxa"/>
            </w:tcMar>
          </w:tcPr>
          <w:p>
            <w:pPr>
              <w:jc w:val="center"/>
            </w:pPr>
            <w:r>
              <w:rPr>
                <w:b/>
                <w:color w:val="234D3C"/>
                <w:sz w:val="18"/>
              </w:rPr>
              <w:t>ZA SAGITARION</w:t>
              <w:br/>
              <w:br/>
              <w:br/>
              <w:t>________________________________</w:t>
              <w:br/>
              <w:t>Irena Tasić, preduzetnik</w:t>
              <w:br/>
              <w:br/>
              <w:t>Datum: _________________________</w:t>
            </w:r>
          </w:p>
        </w:tc>
        <w:tc>
          <w:tcPr>
            <w:tcW w:type="dxa" w:w="4933"/>
            <w:shd w:fill="F5F1E8"/>
            <w:tcMar>
              <w:top w:w="180" w:type="dxa"/>
              <w:start w:w="180" w:type="dxa"/>
              <w:bottom w:w="180" w:type="dxa"/>
              <w:end w:w="180" w:type="dxa"/>
            </w:tcMar>
          </w:tcPr>
          <w:p>
            <w:pPr>
              <w:jc w:val="center"/>
            </w:pPr>
            <w:r>
              <w:rPr>
                <w:b/>
                <w:color w:val="234D3C"/>
                <w:sz w:val="18"/>
              </w:rPr>
              <w:t>ZA PARTNERA</w:t>
              <w:br/>
              <w:br/>
              <w:br/>
              <w:t>________________________________</w:t>
              <w:br/>
              <w:t>Ime i funkcija ovlašćenog lica</w:t>
              <w:br/>
              <w:br/>
              <w:t>Datum: _________________________</w:t>
            </w:r>
          </w:p>
        </w:tc>
      </w:tr>
    </w:tbl>
    <w:p>
      <w:pPr>
        <w:pStyle w:val="Heading2"/>
      </w:pPr>
      <w:r>
        <w:t>Interna evidencija SAGITARION-a</w:t>
      </w:r>
    </w:p>
    <w:p>
      <w:r>
        <w:rPr>
          <w:color w:val="647069"/>
        </w:rPr>
        <w:t>Ovaj blok ne menja ugovorene uslove. Popunjava se kada se ovaj opcioni ugovor zaključi i služi povezivanju ugovora sa evidencijom Partnera. Aktivacija Partnera i obračun provizije ne zavise od potpisa ugovora.</w:t>
      </w:r>
    </w:p>
    <w:tbl>
      <w:tblPr>
        <w:tblW w:type="auto" w:w="0"/>
        <w:jc w:val="center"/>
        <w:tblLook w:firstColumn="1" w:firstRow="1" w:lastColumn="0" w:lastRow="0" w:noHBand="0" w:noVBand="1" w:val="04A0"/>
      </w:tblPr>
      <w:tblGrid>
        <w:gridCol w:w="4933"/>
        <w:gridCol w:w="4933"/>
      </w:tblGrid>
      <w:tr>
        <w:tc>
          <w:tcPr>
            <w:tcW w:type="dxa" w:w="4933"/>
            <w:tcMar>
              <w:top w:w="95" w:type="dxa"/>
              <w:start w:w="110" w:type="dxa"/>
              <w:bottom w:w="95" w:type="dxa"/>
              <w:end w:w="110" w:type="dxa"/>
            </w:tcMar>
            <w:shd w:fill="F5F1E8"/>
          </w:tcPr>
          <w:p>
            <w:r>
              <w:rPr>
                <w:b/>
                <w:color w:val="234D3C"/>
              </w:rPr>
              <w:t>Jedinstvena partnerska šifra</w:t>
            </w:r>
          </w:p>
        </w:tc>
        <w:tc>
          <w:tcPr>
            <w:tcW w:type="dxa" w:w="4933"/>
            <w:tcMar>
              <w:top w:w="95" w:type="dxa"/>
              <w:start w:w="110" w:type="dxa"/>
              <w:bottom w:w="95" w:type="dxa"/>
              <w:end w:w="110" w:type="dxa"/>
            </w:tcMar>
            <w:shd w:fill="FCFAF6"/>
          </w:tcPr>
          <w:p>
            <w:r>
              <w:t>________________________________________</w:t>
            </w:r>
          </w:p>
        </w:tc>
      </w:tr>
      <w:tr>
        <w:tc>
          <w:tcPr>
            <w:tcW w:type="dxa" w:w="4933"/>
            <w:tcMar>
              <w:top w:w="95" w:type="dxa"/>
              <w:start w:w="110" w:type="dxa"/>
              <w:bottom w:w="95" w:type="dxa"/>
              <w:end w:w="110" w:type="dxa"/>
            </w:tcMar>
          </w:tcPr>
          <w:p>
            <w:r>
              <w:rPr>
                <w:b/>
                <w:color w:val="234D3C"/>
              </w:rPr>
              <w:t>Interni ID partnera</w:t>
            </w:r>
          </w:p>
        </w:tc>
        <w:tc>
          <w:tcPr>
            <w:tcW w:type="dxa" w:w="4933"/>
            <w:tcMar>
              <w:top w:w="95" w:type="dxa"/>
              <w:start w:w="110" w:type="dxa"/>
              <w:bottom w:w="95" w:type="dxa"/>
              <w:end w:w="110" w:type="dxa"/>
            </w:tcMar>
          </w:tcPr>
          <w:p>
            <w:r>
              <w:t>________________________________________</w:t>
            </w:r>
          </w:p>
        </w:tc>
      </w:tr>
      <w:tr>
        <w:tc>
          <w:tcPr>
            <w:tcW w:type="dxa" w:w="4933"/>
            <w:tcMar>
              <w:top w:w="95" w:type="dxa"/>
              <w:start w:w="110" w:type="dxa"/>
              <w:bottom w:w="95" w:type="dxa"/>
              <w:end w:w="110" w:type="dxa"/>
            </w:tcMar>
            <w:shd w:fill="F5F1E8"/>
          </w:tcPr>
          <w:p>
            <w:r>
              <w:rPr>
                <w:b/>
                <w:color w:val="234D3C"/>
              </w:rPr>
              <w:t>Potpisan ugovor evidentiran</w:t>
            </w:r>
          </w:p>
        </w:tc>
        <w:tc>
          <w:tcPr>
            <w:tcW w:type="dxa" w:w="4933"/>
            <w:tcMar>
              <w:top w:w="95" w:type="dxa"/>
              <w:start w:w="110" w:type="dxa"/>
              <w:bottom w:w="95" w:type="dxa"/>
              <w:end w:w="110" w:type="dxa"/>
            </w:tcMar>
            <w:shd w:fill="FCFAF6"/>
          </w:tcPr>
          <w:p>
            <w:r>
              <w:t>DA / NE     Datum: _____________________</w:t>
            </w:r>
          </w:p>
        </w:tc>
      </w:tr>
      <w:tr>
        <w:tc>
          <w:tcPr>
            <w:tcW w:type="dxa" w:w="4933"/>
            <w:tcMar>
              <w:top w:w="95" w:type="dxa"/>
              <w:start w:w="110" w:type="dxa"/>
              <w:bottom w:w="95" w:type="dxa"/>
              <w:end w:w="110" w:type="dxa"/>
            </w:tcMar>
          </w:tcPr>
          <w:p>
            <w:r>
              <w:rPr>
                <w:b/>
                <w:color w:val="234D3C"/>
              </w:rPr>
              <w:t>Partner aktivan od / do</w:t>
            </w:r>
          </w:p>
        </w:tc>
        <w:tc>
          <w:tcPr>
            <w:tcW w:type="dxa" w:w="4933"/>
            <w:tcMar>
              <w:top w:w="95" w:type="dxa"/>
              <w:start w:w="110" w:type="dxa"/>
              <w:bottom w:w="95" w:type="dxa"/>
              <w:end w:w="110" w:type="dxa"/>
            </w:tcMar>
          </w:tcPr>
          <w:p>
            <w:r>
              <w:t>_____________________ / _____________________</w:t>
            </w:r>
          </w:p>
        </w:tc>
      </w:tr>
      <w:tr>
        <w:tc>
          <w:tcPr>
            <w:tcW w:type="dxa" w:w="4933"/>
            <w:tcMar>
              <w:top w:w="95" w:type="dxa"/>
              <w:start w:w="110" w:type="dxa"/>
              <w:bottom w:w="95" w:type="dxa"/>
              <w:end w:w="110" w:type="dxa"/>
            </w:tcMar>
            <w:shd w:fill="F5F1E8"/>
          </w:tcPr>
          <w:p>
            <w:r>
              <w:rPr>
                <w:b/>
                <w:color w:val="234D3C"/>
              </w:rPr>
              <w:t>Javni naziv partnera</w:t>
            </w:r>
          </w:p>
        </w:tc>
        <w:tc>
          <w:tcPr>
            <w:tcW w:type="dxa" w:w="4933"/>
            <w:tcMar>
              <w:top w:w="95" w:type="dxa"/>
              <w:start w:w="110" w:type="dxa"/>
              <w:bottom w:w="95" w:type="dxa"/>
              <w:end w:w="110" w:type="dxa"/>
            </w:tcMar>
            <w:shd w:fill="FCFAF6"/>
          </w:tcPr>
          <w:p>
            <w:r>
              <w:t>________________________________________</w:t>
            </w:r>
          </w:p>
        </w:tc>
      </w:tr>
      <w:tr>
        <w:tc>
          <w:tcPr>
            <w:tcW w:type="dxa" w:w="4933"/>
            <w:tcMar>
              <w:top w:w="95" w:type="dxa"/>
              <w:start w:w="110" w:type="dxa"/>
              <w:bottom w:w="95" w:type="dxa"/>
              <w:end w:w="110" w:type="dxa"/>
            </w:tcMar>
          </w:tcPr>
          <w:p>
            <w:r>
              <w:rPr>
                <w:b/>
                <w:color w:val="234D3C"/>
              </w:rPr>
              <w:t>Evidenciju proverio i objavio</w:t>
            </w:r>
          </w:p>
        </w:tc>
        <w:tc>
          <w:tcPr>
            <w:tcW w:type="dxa" w:w="4933"/>
            <w:tcMar>
              <w:top w:w="95" w:type="dxa"/>
              <w:start w:w="110" w:type="dxa"/>
              <w:bottom w:w="95" w:type="dxa"/>
              <w:end w:w="110" w:type="dxa"/>
            </w:tcMar>
          </w:tcPr>
          <w:p>
            <w:r>
              <w:t>________________________________________</w:t>
            </w:r>
          </w:p>
        </w:tc>
      </w:tr>
    </w:tbl>
    <w:p>
      <w:pPr>
        <w:spacing w:before="160"/>
        <w:jc w:val="center"/>
      </w:pPr>
      <w:r>
        <w:rPr>
          <w:i/>
          <w:color w:val="647069"/>
          <w:sz w:val="15"/>
        </w:rPr>
        <w:t>Pre potpisa strane treba da provere svoje poreske, računovodstvene i pravne obaveze u odnosu na konkretan poslovni model i važeće propise.</w:t>
      </w:r>
    </w:p>
    <w:sectPr w:rsidR="00FC693F" w:rsidRPr="0006063C" w:rsidSect="00034616">
      <w:headerReference w:type="default" r:id="rId9"/>
      <w:footerReference w:type="default" r:id="rId10"/>
      <w:pgSz w:w="11906" w:h="16838"/>
      <w:pgMar w:top="1020" w:right="1020" w:bottom="907" w:left="1020"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tblPr>
    <w:tblGrid>
      <w:gridCol w:w="7257"/>
      <w:gridCol w:w="2608"/>
    </w:tblGrid>
    <w:tr>
      <w:tc>
        <w:tcPr>
          <w:tcW w:type="dxa" w:w="4932"/>
          <w:tcMar>
            <w:top w:w="50" w:type="dxa"/>
            <w:start w:w="0" w:type="dxa"/>
            <w:bottom w:w="0" w:type="dxa"/>
            <w:end w:w="0" w:type="dxa"/>
          </w:tcMar>
        </w:tcPr>
        <w:p>
          <w:r>
            <w:rPr>
              <w:color w:val="647069"/>
              <w:sz w:val="15"/>
            </w:rPr>
            <w:t>IRENA TASIĆ PR SAGITARION SUBOTICA  •  PIB 115426039  •  MB 68357241</w:t>
          </w:r>
        </w:p>
      </w:tc>
      <w:tc>
        <w:tcPr>
          <w:tcW w:type="dxa" w:w="4932"/>
          <w:tcMar>
            <w:top w:w="50" w:type="dxa"/>
            <w:start w:w="0" w:type="dxa"/>
            <w:bottom w:w="0" w:type="dxa"/>
            <w:end w:w="0" w:type="dxa"/>
          </w:tcMar>
        </w:tcPr>
        <w:p>
          <w:pPr>
            <w:jc w:val="right"/>
          </w:pPr>
          <w:r>
            <w:rPr>
              <w:color w:val="647069"/>
              <w:sz w:val="16"/>
            </w:rPr>
            <w:t xml:space="preserve">Strana </w:t>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6520"/>
      <w:gridCol w:w="3345"/>
    </w:tblGrid>
    <w:tr>
      <w:tc>
        <w:tcPr>
          <w:tcW w:type="dxa" w:w="4932"/>
          <w:tcMar>
            <w:top w:w="0" w:type="dxa"/>
            <w:start w:w="0" w:type="dxa"/>
            <w:bottom w:w="55" w:type="dxa"/>
            <w:end w:w="0" w:type="dxa"/>
          </w:tcMar>
        </w:tcPr>
        <w:p>
          <w:pPr>
            <w:jc w:val="left"/>
          </w:pPr>
          <w:r>
            <w:rPr>
              <w:rFonts w:ascii="Georgia" w:hAnsi="Georgia"/>
              <w:b/>
              <w:color w:val="234D3C"/>
              <w:sz w:val="22"/>
            </w:rPr>
            <w:t>SAGITARION</w:t>
          </w:r>
          <w:r>
            <w:rPr>
              <w:color w:val="BD8B39"/>
              <w:sz w:val="16"/>
            </w:rPr>
            <w:t xml:space="preserve">  •  PARTNERSKI PROGRAM</w:t>
          </w:r>
        </w:p>
      </w:tc>
      <w:tc>
        <w:tcPr>
          <w:tcW w:type="dxa" w:w="4932"/>
          <w:tcMar>
            <w:top w:w="0" w:type="dxa"/>
            <w:start w:w="0" w:type="dxa"/>
            <w:bottom w:w="55" w:type="dxa"/>
            <w:end w:w="0" w:type="dxa"/>
          </w:tcMar>
        </w:tcPr>
        <w:p>
          <w:pPr>
            <w:jc w:val="right"/>
          </w:pPr>
          <w:r>
            <w:rPr>
              <w:b/>
              <w:color w:val="647069"/>
              <w:sz w:val="16"/>
            </w:rPr>
            <w:t>UGOVOR v1.0</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7201C"/>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Georgia" w:hAnsi="Georgia"/>
      <w:b/>
      <w:bCs/>
      <w:color w:val="234D3C"/>
      <w:sz w:val="32"/>
      <w:szCs w:val="28"/>
    </w:rPr>
  </w:style>
  <w:style w:type="paragraph" w:styleId="Heading2">
    <w:name w:val="heading 2"/>
    <w:basedOn w:val="Normal"/>
    <w:next w:val="Normal"/>
    <w:link w:val="Heading2Char"/>
    <w:uiPriority w:val="9"/>
    <w:unhideWhenUsed/>
    <w:qFormat/>
    <w:rsid w:val="00FC693F"/>
    <w:pPr>
      <w:keepNext/>
      <w:keepLines/>
      <w:spacing w:before="140" w:after="100"/>
      <w:outlineLvl w:val="1"/>
    </w:pPr>
    <w:rPr>
      <w:rFonts w:asciiTheme="majorHAnsi" w:eastAsiaTheme="majorEastAsia" w:hAnsiTheme="majorHAnsi" w:cstheme="majorBidi" w:ascii="Georgia" w:hAnsi="Georgia"/>
      <w:b/>
      <w:bCs/>
      <w:color w:val="356B55"/>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140"/>
      <w:contextualSpacing/>
    </w:pPr>
    <w:rPr>
      <w:rFonts w:asciiTheme="majorHAnsi" w:eastAsiaTheme="majorEastAsia" w:hAnsiTheme="majorHAnsi" w:cstheme="majorBidi" w:ascii="Georgia" w:hAnsi="Georgia"/>
      <w:b w:val="0"/>
      <w:color w:val="234D3C"/>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